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341D" w14:textId="77777777" w:rsidR="0077418D" w:rsidRDefault="00E16847">
      <w:pPr>
        <w:pStyle w:val="Default"/>
        <w:rPr>
          <w:rFonts w:ascii="Times New Roman" w:hAnsi="Times New Roman" w:cs="Times New Roman"/>
          <w:b/>
          <w:bCs/>
        </w:rPr>
      </w:pPr>
      <w:r>
        <w:rPr>
          <w:rFonts w:ascii="Times New Roman" w:hAnsi="Times New Roman" w:cs="Times New Roman"/>
          <w:b/>
          <w:bCs/>
        </w:rPr>
        <w:t>Liitumis</w:t>
      </w:r>
      <w:r w:rsidR="009C11A9">
        <w:rPr>
          <w:rFonts w:ascii="Times New Roman" w:hAnsi="Times New Roman" w:cs="Times New Roman"/>
          <w:b/>
          <w:bCs/>
        </w:rPr>
        <w:t>taotlus</w:t>
      </w:r>
    </w:p>
    <w:p w14:paraId="078A0046" w14:textId="77777777" w:rsidR="0077418D" w:rsidRDefault="0077418D">
      <w:pPr>
        <w:pStyle w:val="Default"/>
        <w:jc w:val="both"/>
        <w:rPr>
          <w:rFonts w:ascii="Times New Roman" w:hAnsi="Times New Roman" w:cs="Times New Roman"/>
        </w:rPr>
      </w:pPr>
    </w:p>
    <w:p w14:paraId="543938B2" w14:textId="77725DF3" w:rsidR="0077418D" w:rsidRPr="00045EDB" w:rsidRDefault="00C46B7F">
      <w:pPr>
        <w:pStyle w:val="Default"/>
        <w:jc w:val="both"/>
        <w:rPr>
          <w:rFonts w:ascii="Times New Roman" w:hAnsi="Times New Roman" w:cs="Times New Roman"/>
        </w:rPr>
      </w:pPr>
      <w:r w:rsidRPr="00045EDB">
        <w:rPr>
          <w:rFonts w:ascii="Times New Roman" w:hAnsi="Times New Roman" w:cs="Times New Roman"/>
        </w:rPr>
        <w:t>Liitumis</w:t>
      </w:r>
      <w:r w:rsidR="009C11A9" w:rsidRPr="00045EDB">
        <w:rPr>
          <w:rFonts w:ascii="Times New Roman" w:hAnsi="Times New Roman" w:cs="Times New Roman"/>
        </w:rPr>
        <w:t>taotluse</w:t>
      </w:r>
      <w:r w:rsidRPr="00045EDB">
        <w:rPr>
          <w:rFonts w:ascii="Times New Roman" w:hAnsi="Times New Roman" w:cs="Times New Roman"/>
        </w:rPr>
        <w:t xml:space="preserve"> allkirjastaja </w:t>
      </w:r>
      <w:r w:rsidR="00045EDB" w:rsidRPr="00045EDB">
        <w:rPr>
          <w:rFonts w:ascii="Times New Roman" w:hAnsi="Times New Roman" w:cs="Times New Roman"/>
        </w:rPr>
        <w:t>ICO Park OÜ</w:t>
      </w:r>
      <w:r w:rsidR="00D7678D" w:rsidRPr="00045EDB">
        <w:rPr>
          <w:rFonts w:ascii="Times New Roman" w:hAnsi="Times New Roman" w:cs="Times New Roman"/>
          <w:i/>
          <w:iCs/>
        </w:rPr>
        <w:t>,</w:t>
      </w:r>
      <w:r w:rsidR="002E64C4" w:rsidRPr="00045EDB">
        <w:rPr>
          <w:rFonts w:ascii="Times New Roman" w:hAnsi="Times New Roman" w:cs="Times New Roman"/>
          <w:i/>
          <w:iCs/>
        </w:rPr>
        <w:t xml:space="preserve"> </w:t>
      </w:r>
      <w:r w:rsidR="00D7678D" w:rsidRPr="00045EDB">
        <w:rPr>
          <w:rFonts w:ascii="Times New Roman" w:hAnsi="Times New Roman" w:cs="Times New Roman"/>
        </w:rPr>
        <w:t xml:space="preserve">registreerimisnumber </w:t>
      </w:r>
      <w:r w:rsidR="00045EDB" w:rsidRPr="00045EDB">
        <w:rPr>
          <w:rFonts w:ascii="Times New Roman" w:hAnsi="Times New Roman" w:cs="Times New Roman"/>
        </w:rPr>
        <w:t>12401945</w:t>
      </w:r>
      <w:r w:rsidR="00D7678D" w:rsidRPr="00045EDB">
        <w:rPr>
          <w:rFonts w:ascii="Times New Roman" w:hAnsi="Times New Roman" w:cs="Times New Roman"/>
        </w:rPr>
        <w:t xml:space="preserve">, asukoht </w:t>
      </w:r>
      <w:r w:rsidR="00045EDB" w:rsidRPr="00045EDB">
        <w:rPr>
          <w:rFonts w:ascii="Times New Roman" w:hAnsi="Times New Roman" w:cs="Times New Roman"/>
        </w:rPr>
        <w:t>Eerika tee 1 Õssu küla Kambja vald Tartumaa 61713</w:t>
      </w:r>
      <w:r w:rsidR="00D7678D" w:rsidRPr="00045EDB">
        <w:rPr>
          <w:rFonts w:ascii="Times New Roman" w:hAnsi="Times New Roman" w:cs="Times New Roman"/>
        </w:rPr>
        <w:t xml:space="preserve">, </w:t>
      </w:r>
      <w:r w:rsidR="00045EDB" w:rsidRPr="00045EDB">
        <w:rPr>
          <w:rFonts w:ascii="Times New Roman" w:hAnsi="Times New Roman" w:cs="Times New Roman"/>
        </w:rPr>
        <w:t xml:space="preserve">keda esindab ettevõtte juhatuse liige Mart Ustav, </w:t>
      </w:r>
    </w:p>
    <w:p w14:paraId="3240F881" w14:textId="77777777" w:rsidR="0077418D" w:rsidRPr="00045EDB" w:rsidRDefault="0077418D">
      <w:pPr>
        <w:pStyle w:val="Default"/>
        <w:rPr>
          <w:rFonts w:ascii="Times New Roman" w:hAnsi="Times New Roman" w:cs="Times New Roman"/>
        </w:rPr>
      </w:pPr>
    </w:p>
    <w:p w14:paraId="018A3FAA" w14:textId="77777777" w:rsidR="0077418D" w:rsidRPr="00045EDB" w:rsidRDefault="00D7678D">
      <w:pPr>
        <w:pStyle w:val="Default"/>
        <w:jc w:val="both"/>
        <w:rPr>
          <w:rFonts w:ascii="Times New Roman" w:hAnsi="Times New Roman" w:cs="Times New Roman"/>
        </w:rPr>
      </w:pPr>
      <w:r w:rsidRPr="00045EDB">
        <w:rPr>
          <w:rFonts w:ascii="Times New Roman" w:hAnsi="Times New Roman" w:cs="Times New Roman"/>
        </w:rPr>
        <w:t xml:space="preserve">keda nimetatakse edaspidi </w:t>
      </w:r>
      <w:r w:rsidR="005B56FD" w:rsidRPr="00045EDB">
        <w:rPr>
          <w:rFonts w:ascii="Times New Roman" w:hAnsi="Times New Roman" w:cs="Times New Roman"/>
          <w:i/>
        </w:rPr>
        <w:t>kliendiks</w:t>
      </w:r>
      <w:r w:rsidR="005B56FD" w:rsidRPr="00045EDB">
        <w:rPr>
          <w:rFonts w:ascii="Times New Roman" w:hAnsi="Times New Roman" w:cs="Times New Roman"/>
        </w:rPr>
        <w:t xml:space="preserve"> nõustub järgnevaga:</w:t>
      </w:r>
    </w:p>
    <w:p w14:paraId="2FB90538" w14:textId="77777777" w:rsidR="0077418D" w:rsidRDefault="0077418D">
      <w:pPr>
        <w:pStyle w:val="Default"/>
        <w:jc w:val="both"/>
        <w:rPr>
          <w:rFonts w:ascii="Times New Roman" w:hAnsi="Times New Roman" w:cs="Times New Roman"/>
        </w:rPr>
      </w:pPr>
    </w:p>
    <w:p w14:paraId="680A127B"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RIA </w:t>
      </w:r>
      <w:r w:rsidR="009C11A9">
        <w:rPr>
          <w:rFonts w:ascii="Times New Roman" w:hAnsi="Times New Roman" w:cs="Times New Roman"/>
        </w:rPr>
        <w:t xml:space="preserve">võimaldab </w:t>
      </w:r>
      <w:r>
        <w:rPr>
          <w:rFonts w:ascii="Times New Roman" w:hAnsi="Times New Roman" w:cs="Times New Roman"/>
        </w:rPr>
        <w:t xml:space="preserve">kliendile </w:t>
      </w:r>
      <w:r>
        <w:rPr>
          <w:rFonts w:ascii="Times New Roman" w:hAnsi="Times New Roman" w:cs="Times New Roman"/>
          <w:b/>
        </w:rPr>
        <w:t>infosüsteemide andmevahetuskihi</w:t>
      </w:r>
      <w:r>
        <w:rPr>
          <w:rFonts w:ascii="Times New Roman" w:hAnsi="Times New Roman" w:cs="Times New Roman"/>
        </w:rPr>
        <w:t xml:space="preserve"> (edaspidi X-tee) kasutamis</w:t>
      </w:r>
      <w:r w:rsidR="009C11A9">
        <w:rPr>
          <w:rFonts w:ascii="Times New Roman" w:hAnsi="Times New Roman" w:cs="Times New Roman"/>
        </w:rPr>
        <w:t>t</w:t>
      </w:r>
      <w:r>
        <w:rPr>
          <w:rFonts w:ascii="Times New Roman" w:hAnsi="Times New Roman" w:cs="Times New Roman"/>
        </w:rPr>
        <w:t xml:space="preserve"> </w:t>
      </w:r>
      <w:r w:rsidR="009C11A9">
        <w:rPr>
          <w:rFonts w:ascii="Times New Roman" w:hAnsi="Times New Roman" w:cs="Times New Roman"/>
        </w:rPr>
        <w:t xml:space="preserve">liitumistaotluse alusel </w:t>
      </w:r>
      <w:r>
        <w:rPr>
          <w:rFonts w:ascii="Times New Roman" w:hAnsi="Times New Roman" w:cs="Times New Roman"/>
        </w:rPr>
        <w:t xml:space="preserve">vastavalt liitumislepingule ja selle lisadele ning Vabariigi Valitsuse 23.09.2016 määruses nr 105 „Infosüsteemide andmevahetuskiht“ sätestatule. </w:t>
      </w:r>
    </w:p>
    <w:p w14:paraId="6573D58E" w14:textId="77777777" w:rsidR="0077418D" w:rsidRDefault="0077418D">
      <w:pPr>
        <w:pStyle w:val="Default"/>
        <w:jc w:val="both"/>
        <w:rPr>
          <w:rFonts w:ascii="Times New Roman" w:hAnsi="Times New Roman" w:cs="Times New Roman"/>
        </w:rPr>
      </w:pPr>
    </w:p>
    <w:p w14:paraId="27D49B27" w14:textId="77777777" w:rsidR="0077418D" w:rsidRDefault="00D7678D">
      <w:pPr>
        <w:pStyle w:val="Default"/>
        <w:jc w:val="both"/>
        <w:rPr>
          <w:rFonts w:ascii="Times New Roman" w:hAnsi="Times New Roman" w:cs="Times New Roman"/>
        </w:rPr>
      </w:pPr>
      <w:r>
        <w:rPr>
          <w:rFonts w:ascii="Times New Roman" w:hAnsi="Times New Roman" w:cs="Times New Roman"/>
        </w:rPr>
        <w:t xml:space="preserve">Liitumislepingu </w:t>
      </w:r>
      <w:r w:rsidR="009C11A9">
        <w:rPr>
          <w:rFonts w:ascii="Times New Roman" w:hAnsi="Times New Roman" w:cs="Times New Roman"/>
        </w:rPr>
        <w:t>osadeks</w:t>
      </w:r>
      <w:r>
        <w:rPr>
          <w:rFonts w:ascii="Times New Roman" w:hAnsi="Times New Roman" w:cs="Times New Roman"/>
        </w:rPr>
        <w:t xml:space="preserve"> on: teenuse üldtingimused (lisa 1), </w:t>
      </w:r>
      <w:r>
        <w:rPr>
          <w:rFonts w:ascii="Times New Roman" w:eastAsia="Times New Roman" w:hAnsi="Times New Roman" w:cs="Times New Roman"/>
          <w:iCs/>
          <w:lang w:eastAsia="et-EE"/>
        </w:rPr>
        <w:t>andmekaitsetingimused (lisa 2) ja teenustasemetingimused (lisa 3).</w:t>
      </w:r>
    </w:p>
    <w:p w14:paraId="2250F698" w14:textId="77777777" w:rsidR="0077418D" w:rsidRDefault="0077418D">
      <w:pPr>
        <w:pStyle w:val="Default"/>
        <w:jc w:val="both"/>
        <w:rPr>
          <w:rFonts w:ascii="Times New Roman" w:hAnsi="Times New Roman" w:cs="Times New Roman"/>
        </w:rPr>
      </w:pPr>
    </w:p>
    <w:p w14:paraId="1710ED61" w14:textId="77777777" w:rsidR="0077418D" w:rsidRDefault="009C11A9">
      <w:pPr>
        <w:pStyle w:val="Default"/>
        <w:spacing w:after="135"/>
        <w:jc w:val="both"/>
        <w:rPr>
          <w:rFonts w:ascii="Times New Roman" w:hAnsi="Times New Roman" w:cs="Times New Roman"/>
        </w:rPr>
      </w:pPr>
      <w:r>
        <w:rPr>
          <w:rFonts w:ascii="Times New Roman" w:hAnsi="Times New Roman" w:cs="Times New Roman"/>
        </w:rPr>
        <w:t>Liitumistaotluse allkirjastamisega</w:t>
      </w:r>
      <w:r w:rsidR="00D7678D">
        <w:rPr>
          <w:rFonts w:ascii="Times New Roman" w:hAnsi="Times New Roman" w:cs="Times New Roman"/>
        </w:rPr>
        <w:t xml:space="preserve"> kinnitab klient, et on </w:t>
      </w:r>
      <w:r>
        <w:rPr>
          <w:rFonts w:ascii="Times New Roman" w:hAnsi="Times New Roman" w:cs="Times New Roman"/>
        </w:rPr>
        <w:t>liitumis</w:t>
      </w:r>
      <w:r w:rsidR="00D7678D">
        <w:rPr>
          <w:rFonts w:ascii="Times New Roman" w:hAnsi="Times New Roman" w:cs="Times New Roman"/>
        </w:rPr>
        <w:t>lepingu tingimustega tutvunud ning kohustub neid täitma.</w:t>
      </w:r>
    </w:p>
    <w:p w14:paraId="7F6F52A3" w14:textId="77777777" w:rsidR="0077418D" w:rsidRDefault="00D7678D">
      <w:pPr>
        <w:pStyle w:val="Default"/>
        <w:spacing w:after="135"/>
        <w:jc w:val="both"/>
        <w:rPr>
          <w:rFonts w:ascii="Times New Roman" w:hAnsi="Times New Roman" w:cs="Times New Roman"/>
        </w:rPr>
      </w:pPr>
      <w:r>
        <w:rPr>
          <w:rFonts w:ascii="Times New Roman" w:hAnsi="Times New Roman" w:cs="Times New Roman"/>
        </w:rPr>
        <w:t>Liitumisleping</w:t>
      </w:r>
      <w:r w:rsidR="009C11A9">
        <w:rPr>
          <w:rFonts w:ascii="Times New Roman" w:hAnsi="Times New Roman" w:cs="Times New Roman"/>
        </w:rPr>
        <w:t xml:space="preserve"> loetakse sõlmituks</w:t>
      </w:r>
      <w:r>
        <w:rPr>
          <w:rFonts w:ascii="Times New Roman" w:hAnsi="Times New Roman" w:cs="Times New Roman"/>
        </w:rPr>
        <w:t xml:space="preserve"> hetkel, kui </w:t>
      </w:r>
      <w:r w:rsidR="001174C6">
        <w:rPr>
          <w:rFonts w:ascii="Times New Roman" w:hAnsi="Times New Roman" w:cs="Times New Roman"/>
        </w:rPr>
        <w:t>klient</w:t>
      </w:r>
      <w:r>
        <w:rPr>
          <w:rFonts w:ascii="Times New Roman" w:hAnsi="Times New Roman" w:cs="Times New Roman"/>
        </w:rPr>
        <w:t xml:space="preserve"> on </w:t>
      </w:r>
      <w:r w:rsidR="009C11A9">
        <w:rPr>
          <w:rFonts w:ascii="Times New Roman" w:hAnsi="Times New Roman" w:cs="Times New Roman"/>
        </w:rPr>
        <w:t>liitumistaotluse</w:t>
      </w:r>
      <w:r w:rsidR="00B559DA">
        <w:rPr>
          <w:rFonts w:ascii="Times New Roman" w:hAnsi="Times New Roman" w:cs="Times New Roman"/>
        </w:rPr>
        <w:t xml:space="preserve"> iseteeninduskeskkonnas</w:t>
      </w:r>
      <w:r w:rsidR="009C11A9">
        <w:rPr>
          <w:rFonts w:ascii="Times New Roman" w:hAnsi="Times New Roman" w:cs="Times New Roman"/>
        </w:rPr>
        <w:t xml:space="preserve"> allkirjastanud.</w:t>
      </w:r>
      <w:r>
        <w:rPr>
          <w:rFonts w:ascii="Times New Roman" w:hAnsi="Times New Roman" w:cs="Times New Roman"/>
        </w:rPr>
        <w:t xml:space="preserve"> </w:t>
      </w:r>
      <w:r w:rsidR="009C11A9">
        <w:rPr>
          <w:rFonts w:ascii="Times New Roman" w:hAnsi="Times New Roman" w:cs="Times New Roman"/>
        </w:rPr>
        <w:t xml:space="preserve">Liitumisleping </w:t>
      </w:r>
      <w:r>
        <w:rPr>
          <w:rFonts w:ascii="Times New Roman" w:hAnsi="Times New Roman" w:cs="Times New Roman"/>
        </w:rPr>
        <w:t>kehtib tähtajatult.</w:t>
      </w:r>
    </w:p>
    <w:p w14:paraId="6CC24474" w14:textId="77777777" w:rsidR="0077418D" w:rsidRDefault="0077418D">
      <w:pPr>
        <w:pStyle w:val="Default"/>
        <w:rPr>
          <w:rFonts w:ascii="Times New Roman" w:hAnsi="Times New Roman" w:cs="Times New Roman"/>
        </w:rPr>
      </w:pPr>
    </w:p>
    <w:p w14:paraId="73C8FF1D" w14:textId="763D7FAB" w:rsidR="0077418D" w:rsidRDefault="00D7678D">
      <w:pPr>
        <w:pStyle w:val="Default"/>
        <w:tabs>
          <w:tab w:val="left" w:pos="2127"/>
          <w:tab w:val="left" w:pos="5812"/>
        </w:tabs>
        <w:rPr>
          <w:rFonts w:ascii="Times New Roman" w:hAnsi="Times New Roman" w:cs="Times New Roman"/>
          <w:b/>
          <w:color w:val="auto"/>
        </w:rPr>
      </w:pPr>
      <w:r>
        <w:rPr>
          <w:rFonts w:ascii="Times New Roman" w:hAnsi="Times New Roman" w:cs="Times New Roman"/>
          <w:b/>
          <w:color w:val="auto"/>
        </w:rPr>
        <w:t>Asutuse nimi</w:t>
      </w:r>
      <w:r w:rsidR="00045EDB">
        <w:rPr>
          <w:rFonts w:ascii="Times New Roman" w:hAnsi="Times New Roman" w:cs="Times New Roman"/>
          <w:b/>
          <w:color w:val="auto"/>
        </w:rPr>
        <w:t xml:space="preserve"> </w:t>
      </w:r>
      <w:r w:rsidR="00045EDB" w:rsidRPr="00AB6F3D">
        <w:rPr>
          <w:rFonts w:ascii="Times New Roman" w:hAnsi="Times New Roman" w:cs="Times New Roman"/>
          <w:b/>
          <w:bCs/>
        </w:rPr>
        <w:t>ICO Park OÜ</w:t>
      </w:r>
    </w:p>
    <w:p w14:paraId="3C1EA78D" w14:textId="77777777" w:rsidR="00045EDB" w:rsidRPr="001E40D4" w:rsidRDefault="00045EDB" w:rsidP="00045EDB">
      <w:pPr>
        <w:pStyle w:val="Default"/>
        <w:tabs>
          <w:tab w:val="left" w:pos="2127"/>
          <w:tab w:val="left" w:pos="5812"/>
          <w:tab w:val="left" w:leader="dot" w:pos="8505"/>
        </w:tabs>
        <w:rPr>
          <w:rFonts w:ascii="Times New Roman" w:hAnsi="Times New Roman" w:cs="Times New Roman"/>
          <w:color w:val="auto"/>
        </w:rPr>
      </w:pPr>
      <w:r>
        <w:rPr>
          <w:rFonts w:ascii="Times New Roman" w:hAnsi="Times New Roman" w:cs="Times New Roman"/>
          <w:color w:val="auto"/>
        </w:rPr>
        <w:t>Esindaja nimi Mart Ustav</w:t>
      </w:r>
    </w:p>
    <w:p w14:paraId="7F0EA1DD" w14:textId="78E57559" w:rsidR="00045EDB" w:rsidRDefault="00045EDB" w:rsidP="00045EDB">
      <w:pPr>
        <w:pStyle w:val="Default"/>
        <w:tabs>
          <w:tab w:val="left" w:pos="2127"/>
          <w:tab w:val="left" w:pos="5812"/>
          <w:tab w:val="left" w:leader="dot" w:pos="8505"/>
        </w:tabs>
        <w:rPr>
          <w:rFonts w:ascii="Times New Roman" w:hAnsi="Times New Roman" w:cs="Times New Roman"/>
          <w:i/>
        </w:rPr>
      </w:pPr>
      <w:r>
        <w:rPr>
          <w:rFonts w:ascii="Times New Roman" w:hAnsi="Times New Roman" w:cs="Times New Roman"/>
        </w:rPr>
        <w:t xml:space="preserve">Asutuse registrikood </w:t>
      </w:r>
      <w:r w:rsidR="00AB6F3D" w:rsidRPr="00045EDB">
        <w:rPr>
          <w:rFonts w:ascii="Times New Roman" w:hAnsi="Times New Roman" w:cs="Times New Roman"/>
        </w:rPr>
        <w:t>12401945</w:t>
      </w:r>
    </w:p>
    <w:p w14:paraId="6F648CB9" w14:textId="629D9F11" w:rsidR="00045EDB" w:rsidRDefault="00045EDB" w:rsidP="00045EDB">
      <w:pPr>
        <w:pStyle w:val="Default"/>
        <w:tabs>
          <w:tab w:val="left" w:pos="2127"/>
          <w:tab w:val="left" w:pos="5812"/>
          <w:tab w:val="left" w:leader="dot" w:pos="8505"/>
        </w:tabs>
        <w:rPr>
          <w:rFonts w:ascii="Times New Roman" w:hAnsi="Times New Roman" w:cs="Times New Roman"/>
        </w:rPr>
      </w:pPr>
      <w:r>
        <w:rPr>
          <w:rFonts w:ascii="Times New Roman" w:hAnsi="Times New Roman" w:cs="Times New Roman"/>
        </w:rPr>
        <w:t xml:space="preserve">Asutuse aadress </w:t>
      </w:r>
      <w:r w:rsidRPr="001E40D4">
        <w:rPr>
          <w:rFonts w:ascii="Times New Roman" w:hAnsi="Times New Roman" w:cs="Times New Roman"/>
        </w:rPr>
        <w:t>Eerika tee 1 Õssu küla Kambja vald Tartumaa 61713</w:t>
      </w:r>
    </w:p>
    <w:p w14:paraId="314AEDC0" w14:textId="77777777" w:rsidR="0077418D" w:rsidRDefault="0077418D">
      <w:pPr>
        <w:pStyle w:val="Default"/>
        <w:tabs>
          <w:tab w:val="left" w:pos="5103"/>
        </w:tabs>
        <w:spacing w:after="135"/>
        <w:rPr>
          <w:rFonts w:ascii="Times New Roman" w:hAnsi="Times New Roman" w:cs="Times New Roman"/>
        </w:rPr>
      </w:pPr>
    </w:p>
    <w:p w14:paraId="228FA333" w14:textId="77777777" w:rsidR="0077418D" w:rsidRDefault="0077418D">
      <w:pPr>
        <w:pStyle w:val="Default"/>
        <w:tabs>
          <w:tab w:val="left" w:pos="5103"/>
        </w:tabs>
        <w:spacing w:after="135"/>
        <w:rPr>
          <w:rFonts w:ascii="Times New Roman" w:hAnsi="Times New Roman" w:cs="Times New Roman"/>
        </w:rPr>
      </w:pPr>
    </w:p>
    <w:p w14:paraId="7B749F72" w14:textId="77777777" w:rsidR="0077418D" w:rsidRDefault="00D7678D">
      <w:pPr>
        <w:pStyle w:val="Default"/>
        <w:tabs>
          <w:tab w:val="left" w:pos="5670"/>
        </w:tabs>
        <w:spacing w:after="135"/>
        <w:jc w:val="center"/>
        <w:rPr>
          <w:rFonts w:ascii="Times New Roman" w:hAnsi="Times New Roman" w:cs="Times New Roman"/>
          <w:i/>
        </w:rPr>
      </w:pPr>
      <w:r>
        <w:rPr>
          <w:rFonts w:ascii="Times New Roman" w:hAnsi="Times New Roman" w:cs="Times New Roman"/>
          <w:i/>
        </w:rPr>
        <w:t>/</w:t>
      </w:r>
      <w:r w:rsidR="000D2134">
        <w:rPr>
          <w:rFonts w:ascii="Times New Roman" w:hAnsi="Times New Roman" w:cs="Times New Roman"/>
          <w:i/>
        </w:rPr>
        <w:t xml:space="preserve">kliendi </w:t>
      </w:r>
      <w:r>
        <w:rPr>
          <w:rFonts w:ascii="Times New Roman" w:hAnsi="Times New Roman" w:cs="Times New Roman"/>
          <w:i/>
        </w:rPr>
        <w:t>poolt allkirjastatud digitaalselt/</w:t>
      </w:r>
    </w:p>
    <w:p w14:paraId="4415DEA6" w14:textId="77777777" w:rsidR="0077418D" w:rsidRDefault="00D7678D">
      <w:pPr>
        <w:rPr>
          <w:rFonts w:ascii="Times New Roman" w:hAnsi="Times New Roman" w:cs="Times New Roman"/>
          <w:i/>
          <w:color w:val="000000"/>
          <w:sz w:val="24"/>
          <w:szCs w:val="24"/>
        </w:rPr>
      </w:pPr>
      <w:r>
        <w:br w:type="page"/>
      </w:r>
    </w:p>
    <w:p w14:paraId="160B5CB3" w14:textId="77777777"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kasutamise üldtingimused (lisa 1)</w:t>
      </w:r>
    </w:p>
    <w:p w14:paraId="4CF00310" w14:textId="77777777" w:rsidR="0077418D" w:rsidRDefault="0077418D">
      <w:pPr>
        <w:spacing w:after="0" w:line="240" w:lineRule="auto"/>
        <w:rPr>
          <w:rFonts w:ascii="Times New Roman" w:eastAsia="Times New Roman" w:hAnsi="Times New Roman" w:cs="Times New Roman"/>
          <w:b/>
          <w:bCs/>
          <w:color w:val="000000"/>
          <w:sz w:val="24"/>
          <w:szCs w:val="24"/>
          <w:lang w:eastAsia="et-EE"/>
        </w:rPr>
      </w:pPr>
    </w:p>
    <w:p w14:paraId="2EB253F5" w14:textId="77777777" w:rsidR="0077418D" w:rsidRDefault="0077418D">
      <w:pPr>
        <w:spacing w:after="0" w:line="240" w:lineRule="auto"/>
        <w:rPr>
          <w:rFonts w:ascii="Times New Roman" w:eastAsia="Times New Roman" w:hAnsi="Times New Roman" w:cs="Times New Roman"/>
          <w:b/>
          <w:bCs/>
          <w:color w:val="000000"/>
          <w:sz w:val="24"/>
          <w:szCs w:val="24"/>
          <w:lang w:eastAsia="et-EE"/>
        </w:rPr>
      </w:pPr>
    </w:p>
    <w:p w14:paraId="0A4B9B00"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ÜLDSÄTTED</w:t>
      </w:r>
    </w:p>
    <w:p w14:paraId="1185FCEF"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Riigi Infosüsteemi Amet (edaspidi </w:t>
      </w:r>
      <w:r>
        <w:rPr>
          <w:rFonts w:ascii="Times New Roman" w:eastAsia="Times New Roman" w:hAnsi="Times New Roman" w:cs="Times New Roman"/>
          <w:i/>
          <w:iCs/>
          <w:color w:val="000000"/>
          <w:sz w:val="24"/>
          <w:szCs w:val="24"/>
          <w:lang w:eastAsia="et-EE"/>
        </w:rPr>
        <w:t>RIA</w:t>
      </w:r>
      <w:r>
        <w:rPr>
          <w:rFonts w:ascii="Times New Roman" w:eastAsia="Times New Roman" w:hAnsi="Times New Roman" w:cs="Times New Roman"/>
          <w:color w:val="000000"/>
          <w:sz w:val="24"/>
          <w:szCs w:val="24"/>
          <w:lang w:eastAsia="et-EE"/>
        </w:rPr>
        <w:t>) võimaldab seadusest, Vabariigi Valitsuse 23.09.2016 määrusest nr 105 „Infosüsteemide andmevahetuskiht“ ja põhimäärusest tuleneva haldusülesandena infosüsteemide andmevahetuskihi (</w:t>
      </w:r>
      <w:r>
        <w:rPr>
          <w:rFonts w:ascii="Times New Roman" w:eastAsia="Times New Roman" w:hAnsi="Times New Roman" w:cs="Times New Roman"/>
          <w:color w:val="000000" w:themeColor="text1"/>
          <w:sz w:val="24"/>
          <w:szCs w:val="24"/>
          <w:lang w:eastAsia="et-EE"/>
        </w:rPr>
        <w:t>edaspidi</w:t>
      </w:r>
      <w:r>
        <w:rPr>
          <w:rFonts w:ascii="Times New Roman" w:eastAsia="Times New Roman" w:hAnsi="Times New Roman" w:cs="Times New Roman"/>
          <w:i/>
          <w:color w:val="000000" w:themeColor="text1"/>
          <w:sz w:val="24"/>
          <w:szCs w:val="24"/>
          <w:lang w:eastAsia="et-EE"/>
        </w:rPr>
        <w:t xml:space="preserve"> X-tee</w:t>
      </w:r>
      <w:r>
        <w:rPr>
          <w:rFonts w:ascii="Times New Roman" w:eastAsia="Times New Roman" w:hAnsi="Times New Roman" w:cs="Times New Roman"/>
          <w:color w:val="000000" w:themeColor="text1"/>
          <w:sz w:val="24"/>
          <w:szCs w:val="24"/>
          <w:lang w:eastAsia="et-EE"/>
        </w:rPr>
        <w:t>) kasutamist turvaliseks ja tõestusväärtust tagavaks andmevahetuseks</w:t>
      </w:r>
      <w:r>
        <w:rPr>
          <w:rFonts w:ascii="Times New Roman" w:hAnsi="Times New Roman" w:cs="Times New Roman"/>
          <w:sz w:val="24"/>
          <w:szCs w:val="24"/>
          <w:lang w:eastAsia="et-EE"/>
        </w:rPr>
        <w:t xml:space="preserve">. </w:t>
      </w:r>
    </w:p>
    <w:p w14:paraId="5C451D9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X-teega on võimalik liituda riigi- ja kohaliku omavalitsuse asutustel, juriidilistel isikutel ning seaduse alusel loodud muudel õigussubjektidel.  </w:t>
      </w:r>
    </w:p>
    <w:p w14:paraId="628BF4C1"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color w:val="000000" w:themeColor="text1"/>
          <w:sz w:val="24"/>
          <w:szCs w:val="24"/>
          <w:lang w:eastAsia="et-EE"/>
        </w:rPr>
        <w:t>RIA võimaldab X-tee kasutamist</w:t>
      </w:r>
      <w:r>
        <w:rPr>
          <w:rFonts w:ascii="Times New Roman" w:eastAsia="Times New Roman" w:hAnsi="Times New Roman" w:cs="Times New Roman"/>
          <w:color w:val="000000"/>
          <w:sz w:val="24"/>
          <w:szCs w:val="24"/>
          <w:lang w:eastAsia="et-EE"/>
        </w:rPr>
        <w:t xml:space="preserve"> Vabariigi Valitsuse 23.09.2016 määruses nr 105 „Infosüsteemide andmevahetuskiht“ ja liitumislepingus ning selle lisades, sealhulgas </w:t>
      </w:r>
      <w:r>
        <w:rPr>
          <w:rFonts w:ascii="Times New Roman" w:eastAsia="Times New Roman" w:hAnsi="Times New Roman" w:cs="Times New Roman"/>
          <w:color w:val="000000" w:themeColor="text1"/>
          <w:sz w:val="24"/>
          <w:szCs w:val="24"/>
          <w:lang w:eastAsia="et-EE"/>
        </w:rPr>
        <w:t xml:space="preserve">käesolevates X-tee kasutamise </w:t>
      </w:r>
      <w:r>
        <w:rPr>
          <w:rFonts w:ascii="Times New Roman" w:eastAsia="Times New Roman" w:hAnsi="Times New Roman" w:cs="Times New Roman"/>
          <w:color w:val="000000"/>
          <w:sz w:val="24"/>
          <w:szCs w:val="24"/>
          <w:lang w:eastAsia="et-EE"/>
        </w:rPr>
        <w:t xml:space="preserve">üldtingimustes (edaspidi </w:t>
      </w:r>
      <w:r>
        <w:rPr>
          <w:rFonts w:ascii="Times New Roman" w:eastAsia="Times New Roman" w:hAnsi="Times New Roman" w:cs="Times New Roman"/>
          <w:i/>
          <w:color w:val="000000"/>
          <w:sz w:val="24"/>
          <w:szCs w:val="24"/>
          <w:lang w:eastAsia="et-EE"/>
        </w:rPr>
        <w:t>üldtingimused</w:t>
      </w:r>
      <w:r>
        <w:rPr>
          <w:rFonts w:ascii="Times New Roman" w:eastAsia="Times New Roman" w:hAnsi="Times New Roman" w:cs="Times New Roman"/>
          <w:color w:val="000000"/>
          <w:sz w:val="24"/>
          <w:szCs w:val="24"/>
          <w:lang w:eastAsia="et-EE"/>
        </w:rPr>
        <w:t xml:space="preserve">) kirjeldatud tingimustel.   </w:t>
      </w:r>
    </w:p>
    <w:p w14:paraId="2E3968FB"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6B7D28FE"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MÕISTED</w:t>
      </w:r>
    </w:p>
    <w:p w14:paraId="3B9A80E0" w14:textId="77777777" w:rsidR="0077418D" w:rsidRDefault="0077418D">
      <w:pPr>
        <w:spacing w:after="0" w:line="240" w:lineRule="auto"/>
        <w:rPr>
          <w:rFonts w:ascii="Times New Roman" w:eastAsia="Times New Roman" w:hAnsi="Times New Roman" w:cs="Times New Roman"/>
          <w:color w:val="000000"/>
          <w:sz w:val="24"/>
          <w:szCs w:val="24"/>
          <w:lang w:eastAsia="et-EE"/>
        </w:rPr>
      </w:pPr>
    </w:p>
    <w:p w14:paraId="314EDABB" w14:textId="77777777" w:rsidR="0077418D" w:rsidRDefault="00D7678D">
      <w:pPr>
        <w:spacing w:after="0" w:line="240" w:lineRule="auto"/>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Üldtingimustes kasutatakse mõisteid järgmises tähenduses:</w:t>
      </w:r>
    </w:p>
    <w:p w14:paraId="392A0B1B" w14:textId="77777777" w:rsidR="0077418D" w:rsidRDefault="0077418D">
      <w:pPr>
        <w:spacing w:after="0" w:line="240" w:lineRule="auto"/>
        <w:rPr>
          <w:rFonts w:ascii="Times New Roman" w:eastAsia="Times New Roman" w:hAnsi="Times New Roman" w:cs="Times New Roman"/>
          <w:color w:val="000000"/>
          <w:sz w:val="24"/>
          <w:szCs w:val="24"/>
          <w:lang w:eastAsia="et-EE"/>
        </w:rPr>
      </w:pPr>
    </w:p>
    <w:tbl>
      <w:tblPr>
        <w:tblStyle w:val="TableGrid"/>
        <w:tblW w:w="9214" w:type="dxa"/>
        <w:tblLayout w:type="fixed"/>
        <w:tblLook w:val="04A0" w:firstRow="1" w:lastRow="0" w:firstColumn="1" w:lastColumn="0" w:noHBand="0" w:noVBand="1"/>
      </w:tblPr>
      <w:tblGrid>
        <w:gridCol w:w="2977"/>
        <w:gridCol w:w="6237"/>
      </w:tblGrid>
      <w:tr w:rsidR="0077418D" w14:paraId="5D628EA2" w14:textId="77777777">
        <w:tc>
          <w:tcPr>
            <w:tcW w:w="2977" w:type="dxa"/>
            <w:tcBorders>
              <w:top w:val="nil"/>
              <w:left w:val="nil"/>
              <w:bottom w:val="nil"/>
              <w:right w:val="nil"/>
            </w:tcBorders>
          </w:tcPr>
          <w:p w14:paraId="1CF8D61D"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 xml:space="preserve">Infosüsteemide </w:t>
            </w:r>
          </w:p>
          <w:p w14:paraId="113ADF12"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andmevahetuskiht (X-tee)</w:t>
            </w:r>
          </w:p>
        </w:tc>
        <w:tc>
          <w:tcPr>
            <w:tcW w:w="6236" w:type="dxa"/>
            <w:tcBorders>
              <w:top w:val="nil"/>
              <w:left w:val="nil"/>
              <w:bottom w:val="nil"/>
              <w:right w:val="nil"/>
            </w:tcBorders>
          </w:tcPr>
          <w:p w14:paraId="1A8C626C"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tehniline infrastruktuur ja keskkond X-tee liikmete vahel, mis võimaldab turvalist ja tõestusväärtust tagavat internetipõhist andmevahetust</w:t>
            </w:r>
          </w:p>
          <w:p w14:paraId="16A89B8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8CE7C0B" w14:textId="77777777">
        <w:tc>
          <w:tcPr>
            <w:tcW w:w="2977" w:type="dxa"/>
            <w:tcBorders>
              <w:top w:val="nil"/>
              <w:left w:val="nil"/>
              <w:bottom w:val="nil"/>
              <w:right w:val="nil"/>
            </w:tcBorders>
          </w:tcPr>
          <w:p w14:paraId="2906D6D6"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Klient</w:t>
            </w:r>
          </w:p>
        </w:tc>
        <w:tc>
          <w:tcPr>
            <w:tcW w:w="6236" w:type="dxa"/>
            <w:tcBorders>
              <w:top w:val="nil"/>
              <w:left w:val="nil"/>
              <w:bottom w:val="nil"/>
              <w:right w:val="nil"/>
            </w:tcBorders>
          </w:tcPr>
          <w:p w14:paraId="066C9E7F"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liikmelisuse taotleja või X-tee liige</w:t>
            </w:r>
          </w:p>
          <w:p w14:paraId="10091DF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4A290F0" w14:textId="77777777">
        <w:tc>
          <w:tcPr>
            <w:tcW w:w="2977" w:type="dxa"/>
            <w:tcBorders>
              <w:top w:val="nil"/>
              <w:left w:val="nil"/>
              <w:bottom w:val="nil"/>
              <w:right w:val="nil"/>
            </w:tcBorders>
          </w:tcPr>
          <w:p w14:paraId="34799580"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liige</w:t>
            </w:r>
          </w:p>
        </w:tc>
        <w:tc>
          <w:tcPr>
            <w:tcW w:w="6236" w:type="dxa"/>
            <w:tcBorders>
              <w:top w:val="nil"/>
              <w:left w:val="nil"/>
              <w:bottom w:val="nil"/>
              <w:right w:val="nil"/>
            </w:tcBorders>
          </w:tcPr>
          <w:p w14:paraId="376931BB"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riigi- või kohaliku omavalitsuse asutus, juriidiline isik või muu seaduse alusel loodud õigussubjekt, kes on liitunud X-teega</w:t>
            </w:r>
          </w:p>
          <w:p w14:paraId="59A5B1CB"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2DF5D30B" w14:textId="77777777">
        <w:tc>
          <w:tcPr>
            <w:tcW w:w="2977" w:type="dxa"/>
            <w:tcBorders>
              <w:top w:val="nil"/>
              <w:left w:val="nil"/>
              <w:bottom w:val="nil"/>
              <w:right w:val="nil"/>
            </w:tcBorders>
          </w:tcPr>
          <w:p w14:paraId="2B9F1903"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w:t>
            </w:r>
          </w:p>
        </w:tc>
        <w:tc>
          <w:tcPr>
            <w:tcW w:w="6236" w:type="dxa"/>
            <w:tcBorders>
              <w:top w:val="nil"/>
              <w:left w:val="nil"/>
              <w:bottom w:val="nil"/>
              <w:right w:val="nil"/>
            </w:tcBorders>
          </w:tcPr>
          <w:p w14:paraId="118F490E"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liikme teenus, mille kaudu toimub internetipõhine andmevahetus</w:t>
            </w:r>
          </w:p>
          <w:p w14:paraId="40F2641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C21C535" w14:textId="77777777">
        <w:tc>
          <w:tcPr>
            <w:tcW w:w="2977" w:type="dxa"/>
            <w:tcBorders>
              <w:top w:val="nil"/>
              <w:left w:val="nil"/>
              <w:bottom w:val="nil"/>
              <w:right w:val="nil"/>
            </w:tcBorders>
          </w:tcPr>
          <w:p w14:paraId="4AAE11EE"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osutaja</w:t>
            </w:r>
          </w:p>
        </w:tc>
        <w:tc>
          <w:tcPr>
            <w:tcW w:w="6236" w:type="dxa"/>
            <w:tcBorders>
              <w:top w:val="nil"/>
              <w:left w:val="nil"/>
              <w:bottom w:val="nil"/>
              <w:right w:val="nil"/>
            </w:tcBorders>
          </w:tcPr>
          <w:p w14:paraId="12F2B580"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osutab teistele liikmetele andmeteenust</w:t>
            </w:r>
          </w:p>
          <w:p w14:paraId="0429A168"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1B1FF16B" w14:textId="77777777">
        <w:tc>
          <w:tcPr>
            <w:tcW w:w="2977" w:type="dxa"/>
            <w:tcBorders>
              <w:top w:val="nil"/>
              <w:left w:val="nil"/>
              <w:bottom w:val="nil"/>
              <w:right w:val="nil"/>
            </w:tcBorders>
          </w:tcPr>
          <w:p w14:paraId="46976575"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kasutaja</w:t>
            </w:r>
          </w:p>
        </w:tc>
        <w:tc>
          <w:tcPr>
            <w:tcW w:w="6236" w:type="dxa"/>
            <w:tcBorders>
              <w:top w:val="nil"/>
              <w:left w:val="nil"/>
              <w:bottom w:val="nil"/>
              <w:right w:val="nil"/>
            </w:tcBorders>
          </w:tcPr>
          <w:p w14:paraId="391C263A"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kasutab andmeteenust</w:t>
            </w:r>
          </w:p>
          <w:p w14:paraId="07F3480E"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46D92C3" w14:textId="77777777">
        <w:tc>
          <w:tcPr>
            <w:tcW w:w="2977" w:type="dxa"/>
            <w:tcBorders>
              <w:top w:val="nil"/>
              <w:left w:val="nil"/>
              <w:bottom w:val="nil"/>
              <w:right w:val="nil"/>
            </w:tcBorders>
          </w:tcPr>
          <w:p w14:paraId="337D4F6B"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vahendaja</w:t>
            </w:r>
          </w:p>
        </w:tc>
        <w:tc>
          <w:tcPr>
            <w:tcW w:w="6236" w:type="dxa"/>
            <w:tcBorders>
              <w:top w:val="nil"/>
              <w:left w:val="nil"/>
              <w:bottom w:val="nil"/>
              <w:right w:val="nil"/>
            </w:tcBorders>
          </w:tcPr>
          <w:p w14:paraId="695C8287"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liige, kes võimaldab enda organisatsiooni välisele füüsilisele või juriidilisele isikule juurdepääsu andmeteenusele oma infosüsteemi vahendusel</w:t>
            </w:r>
          </w:p>
          <w:p w14:paraId="1D0859E6"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A4F5F7A" w14:textId="77777777">
        <w:tc>
          <w:tcPr>
            <w:tcW w:w="2977" w:type="dxa"/>
            <w:tcBorders>
              <w:top w:val="nil"/>
              <w:left w:val="nil"/>
              <w:bottom w:val="nil"/>
              <w:right w:val="nil"/>
            </w:tcBorders>
          </w:tcPr>
          <w:p w14:paraId="5AA4243F"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Andmeteenuse lõppkasutaja</w:t>
            </w:r>
          </w:p>
        </w:tc>
        <w:tc>
          <w:tcPr>
            <w:tcW w:w="6236" w:type="dxa"/>
            <w:tcBorders>
              <w:top w:val="nil"/>
              <w:left w:val="nil"/>
              <w:bottom w:val="nil"/>
              <w:right w:val="nil"/>
            </w:tcBorders>
          </w:tcPr>
          <w:p w14:paraId="660F63D2"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füüsiline isik, kes kasutab andmeteenust X-tee liikme infosüsteemi vahendusel</w:t>
            </w:r>
          </w:p>
          <w:p w14:paraId="77754E7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3BBDA1C" w14:textId="77777777">
        <w:tc>
          <w:tcPr>
            <w:tcW w:w="2977" w:type="dxa"/>
            <w:tcBorders>
              <w:top w:val="nil"/>
              <w:left w:val="nil"/>
              <w:bottom w:val="nil"/>
              <w:right w:val="nil"/>
            </w:tcBorders>
          </w:tcPr>
          <w:p w14:paraId="020EB31A"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Sõnum</w:t>
            </w:r>
          </w:p>
        </w:tc>
        <w:tc>
          <w:tcPr>
            <w:tcW w:w="6236" w:type="dxa"/>
            <w:tcBorders>
              <w:top w:val="nil"/>
              <w:left w:val="nil"/>
              <w:bottom w:val="nil"/>
              <w:right w:val="nil"/>
            </w:tcBorders>
          </w:tcPr>
          <w:p w14:paraId="08F98F84"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vormindatud andmete kogum, mida vahetatakse andmeteenuse osutaja ja kasutaja vahel X-tee kaudu</w:t>
            </w:r>
          </w:p>
          <w:p w14:paraId="69036EBB"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59D091C0" w14:textId="77777777">
        <w:tc>
          <w:tcPr>
            <w:tcW w:w="2977" w:type="dxa"/>
            <w:tcBorders>
              <w:top w:val="nil"/>
              <w:left w:val="nil"/>
              <w:bottom w:val="nil"/>
              <w:right w:val="nil"/>
            </w:tcBorders>
          </w:tcPr>
          <w:p w14:paraId="18AB3B17"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Alamsüsteem</w:t>
            </w:r>
          </w:p>
        </w:tc>
        <w:tc>
          <w:tcPr>
            <w:tcW w:w="6236" w:type="dxa"/>
            <w:tcBorders>
              <w:top w:val="nil"/>
              <w:left w:val="nil"/>
              <w:bottom w:val="nil"/>
              <w:right w:val="nil"/>
            </w:tcBorders>
          </w:tcPr>
          <w:p w14:paraId="7C06AFCD"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tehnoloogiliselt ja organisatoorselt piiritletud X-tee liikme infosüsteemi osa andmeteenuse osutamiseks või kasutamiseks</w:t>
            </w:r>
          </w:p>
          <w:p w14:paraId="2793527F"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453BD8A7" w14:textId="77777777">
        <w:tc>
          <w:tcPr>
            <w:tcW w:w="2977" w:type="dxa"/>
            <w:tcBorders>
              <w:top w:val="nil"/>
              <w:left w:val="nil"/>
              <w:bottom w:val="nil"/>
              <w:right w:val="nil"/>
            </w:tcBorders>
          </w:tcPr>
          <w:p w14:paraId="317454C2"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Pääsuõigus</w:t>
            </w:r>
          </w:p>
        </w:tc>
        <w:tc>
          <w:tcPr>
            <w:tcW w:w="6236" w:type="dxa"/>
            <w:tcBorders>
              <w:top w:val="nil"/>
              <w:left w:val="nil"/>
              <w:bottom w:val="nil"/>
              <w:right w:val="nil"/>
            </w:tcBorders>
          </w:tcPr>
          <w:p w14:paraId="56E4606E"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andmeteenuse kasutamise võimaldamine X-tee tarkvaras</w:t>
            </w:r>
          </w:p>
          <w:p w14:paraId="12544085"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3C49AF69" w14:textId="77777777">
        <w:tc>
          <w:tcPr>
            <w:tcW w:w="2977" w:type="dxa"/>
            <w:tcBorders>
              <w:top w:val="nil"/>
              <w:left w:val="nil"/>
              <w:bottom w:val="nil"/>
              <w:right w:val="nil"/>
            </w:tcBorders>
          </w:tcPr>
          <w:p w14:paraId="23F34A33"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baasprotokollistik</w:t>
            </w:r>
          </w:p>
        </w:tc>
        <w:tc>
          <w:tcPr>
            <w:tcW w:w="6236" w:type="dxa"/>
            <w:tcBorders>
              <w:top w:val="nil"/>
              <w:left w:val="nil"/>
              <w:bottom w:val="nil"/>
              <w:right w:val="nil"/>
            </w:tcBorders>
          </w:tcPr>
          <w:p w14:paraId="47723D99"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 xml:space="preserve">reeglite kogum, mis tagab turvalise andmevahetuse toimimise </w:t>
            </w:r>
            <w:r>
              <w:rPr>
                <w:rFonts w:ascii="Times New Roman" w:eastAsia="Times New Roman" w:hAnsi="Times New Roman" w:cs="Times New Roman"/>
                <w:color w:val="000000"/>
                <w:kern w:val="2"/>
                <w:lang w:eastAsia="et-EE"/>
              </w:rPr>
              <w:lastRenderedPageBreak/>
              <w:t>arvutivõrgu kaudu</w:t>
            </w:r>
          </w:p>
          <w:p w14:paraId="04B203D5"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778769A0" w14:textId="77777777">
        <w:tc>
          <w:tcPr>
            <w:tcW w:w="2977" w:type="dxa"/>
            <w:tcBorders>
              <w:top w:val="nil"/>
              <w:left w:val="nil"/>
              <w:bottom w:val="nil"/>
              <w:right w:val="nil"/>
            </w:tcBorders>
          </w:tcPr>
          <w:p w14:paraId="71DB2F5A"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lastRenderedPageBreak/>
              <w:t>Turvaserver</w:t>
            </w:r>
          </w:p>
        </w:tc>
        <w:tc>
          <w:tcPr>
            <w:tcW w:w="6236" w:type="dxa"/>
            <w:tcBorders>
              <w:top w:val="nil"/>
              <w:left w:val="nil"/>
              <w:bottom w:val="nil"/>
              <w:right w:val="nil"/>
            </w:tcBorders>
          </w:tcPr>
          <w:p w14:paraId="00B4723B"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tarkvaraline lahendus, mis järgib X-tee baasprotokollistikku</w:t>
            </w:r>
          </w:p>
          <w:p w14:paraId="258EEF84"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449DDA0" w14:textId="77777777">
        <w:tc>
          <w:tcPr>
            <w:tcW w:w="2977" w:type="dxa"/>
            <w:tcBorders>
              <w:top w:val="nil"/>
              <w:left w:val="nil"/>
              <w:bottom w:val="nil"/>
              <w:right w:val="nil"/>
            </w:tcBorders>
          </w:tcPr>
          <w:p w14:paraId="20EC2031"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X-tee sõnumiprotokoll</w:t>
            </w:r>
          </w:p>
        </w:tc>
        <w:tc>
          <w:tcPr>
            <w:tcW w:w="6236" w:type="dxa"/>
            <w:tcBorders>
              <w:top w:val="nil"/>
              <w:left w:val="nil"/>
              <w:bottom w:val="nil"/>
              <w:right w:val="nil"/>
            </w:tcBorders>
          </w:tcPr>
          <w:p w14:paraId="1D9BB9AA"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 osa, mis võimaldab X-tee liikmetel sõnumeid töödelda</w:t>
            </w:r>
          </w:p>
          <w:p w14:paraId="7A2E7BA2"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6DEFEB89" w14:textId="77777777">
        <w:tc>
          <w:tcPr>
            <w:tcW w:w="2977" w:type="dxa"/>
            <w:tcBorders>
              <w:top w:val="nil"/>
              <w:left w:val="nil"/>
              <w:bottom w:val="nil"/>
              <w:right w:val="nil"/>
            </w:tcBorders>
          </w:tcPr>
          <w:p w14:paraId="00C832FF"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E-tempel</w:t>
            </w:r>
          </w:p>
        </w:tc>
        <w:tc>
          <w:tcPr>
            <w:tcW w:w="6236" w:type="dxa"/>
            <w:tcBorders>
              <w:top w:val="nil"/>
              <w:left w:val="nil"/>
              <w:bottom w:val="nil"/>
              <w:right w:val="nil"/>
            </w:tcBorders>
          </w:tcPr>
          <w:p w14:paraId="1B591B62"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elektrooniliste andmete kogum, mis vastab Euroopa Parlamendi ja nõukogu määruses (EL) nr 910/2014 „e-identimise ja e-tehingute jaoks vajalike usaldusteenuste kohta siseturul ja millega tunnistatakse kehtetuks direktiiv 1999/93/EÜ“ (ELT L 257, 28.08.2014, lk 73–114) (edaspidi Euroopa Parlamendi ja nõukogu määrus (EL) nr 910/2014) sätestatud täiustatud või kvalifitseeritud e-templi nõuetele</w:t>
            </w:r>
          </w:p>
          <w:p w14:paraId="447C41AA" w14:textId="77777777" w:rsidR="0077418D" w:rsidRDefault="0077418D">
            <w:pPr>
              <w:widowControl w:val="0"/>
              <w:spacing w:after="0" w:line="240" w:lineRule="auto"/>
              <w:jc w:val="both"/>
              <w:textAlignment w:val="baseline"/>
              <w:rPr>
                <w:rFonts w:eastAsia="Times New Roman" w:cs="Times New Roman"/>
                <w:color w:val="000000"/>
                <w:lang w:eastAsia="et-EE"/>
              </w:rPr>
            </w:pPr>
          </w:p>
        </w:tc>
      </w:tr>
      <w:tr w:rsidR="0077418D" w14:paraId="027665B9" w14:textId="77777777">
        <w:tc>
          <w:tcPr>
            <w:tcW w:w="2977" w:type="dxa"/>
            <w:tcBorders>
              <w:top w:val="nil"/>
              <w:left w:val="nil"/>
              <w:bottom w:val="nil"/>
              <w:right w:val="nil"/>
            </w:tcBorders>
          </w:tcPr>
          <w:p w14:paraId="282BE806" w14:textId="77777777" w:rsidR="0077418D" w:rsidRDefault="00D7678D">
            <w:pPr>
              <w:widowControl w:val="0"/>
              <w:spacing w:after="0" w:line="240" w:lineRule="auto"/>
              <w:textAlignment w:val="baseline"/>
              <w:rPr>
                <w:rFonts w:eastAsia="Times New Roman" w:cs="Times New Roman"/>
                <w:i/>
                <w:color w:val="000000"/>
                <w:lang w:eastAsia="et-EE"/>
              </w:rPr>
            </w:pPr>
            <w:r>
              <w:rPr>
                <w:rFonts w:ascii="Times New Roman" w:eastAsia="Times New Roman" w:hAnsi="Times New Roman" w:cs="Times New Roman"/>
                <w:i/>
                <w:color w:val="000000"/>
                <w:kern w:val="2"/>
                <w:lang w:eastAsia="et-EE"/>
              </w:rPr>
              <w:t>Päringulogi</w:t>
            </w:r>
          </w:p>
        </w:tc>
        <w:tc>
          <w:tcPr>
            <w:tcW w:w="6236" w:type="dxa"/>
            <w:tcBorders>
              <w:top w:val="nil"/>
              <w:left w:val="nil"/>
              <w:bottom w:val="nil"/>
              <w:right w:val="nil"/>
            </w:tcBorders>
          </w:tcPr>
          <w:p w14:paraId="3770EE65" w14:textId="77777777" w:rsidR="0077418D" w:rsidRDefault="00D7678D">
            <w:pPr>
              <w:widowControl w:val="0"/>
              <w:spacing w:after="0" w:line="240" w:lineRule="auto"/>
              <w:jc w:val="both"/>
              <w:textAlignment w:val="baseline"/>
              <w:rPr>
                <w:rFonts w:eastAsia="Times New Roman" w:cs="Times New Roman"/>
                <w:color w:val="000000"/>
                <w:lang w:eastAsia="et-EE"/>
              </w:rPr>
            </w:pPr>
            <w:r>
              <w:rPr>
                <w:rFonts w:ascii="Times New Roman" w:eastAsia="Times New Roman" w:hAnsi="Times New Roman" w:cs="Times New Roman"/>
                <w:color w:val="000000"/>
                <w:kern w:val="2"/>
                <w:lang w:eastAsia="et-EE"/>
              </w:rPr>
              <w:t>X-tee baasprotokollistikule tuginev turvaserveri osa, kuhu salvestatakse e-templiga kinnitatud X-teel vahetatud sõnumid või nende päised</w:t>
            </w:r>
          </w:p>
        </w:tc>
      </w:tr>
    </w:tbl>
    <w:p w14:paraId="13291332" w14:textId="77777777" w:rsidR="0077418D" w:rsidRDefault="0077418D">
      <w:pPr>
        <w:spacing w:after="0" w:line="240" w:lineRule="auto"/>
        <w:jc w:val="both"/>
        <w:rPr>
          <w:rFonts w:ascii="Times New Roman" w:eastAsia="Times New Roman" w:hAnsi="Times New Roman" w:cs="Times New Roman"/>
          <w:iCs/>
          <w:color w:val="000000"/>
          <w:sz w:val="24"/>
          <w:szCs w:val="24"/>
          <w:lang w:eastAsia="et-EE"/>
        </w:rPr>
      </w:pPr>
    </w:p>
    <w:p w14:paraId="29D2265B" w14:textId="77777777" w:rsidR="0077418D" w:rsidRDefault="0077418D">
      <w:pPr>
        <w:spacing w:after="0" w:line="240" w:lineRule="auto"/>
        <w:ind w:left="2124"/>
        <w:jc w:val="both"/>
        <w:rPr>
          <w:rFonts w:ascii="Times New Roman" w:eastAsia="Times New Roman" w:hAnsi="Times New Roman" w:cs="Times New Roman"/>
          <w:color w:val="000000"/>
          <w:sz w:val="24"/>
          <w:szCs w:val="24"/>
          <w:lang w:eastAsia="et-EE"/>
        </w:rPr>
      </w:pPr>
    </w:p>
    <w:p w14:paraId="7E163C95" w14:textId="77777777" w:rsidR="0077418D" w:rsidRDefault="00D7678D">
      <w:pPr>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LIITUMINE </w:t>
      </w:r>
    </w:p>
    <w:p w14:paraId="361F23EE" w14:textId="77777777" w:rsidR="0077418D" w:rsidRDefault="00D7678D">
      <w:pPr>
        <w:pStyle w:val="ListParagraph"/>
        <w:numPr>
          <w:ilvl w:val="1"/>
          <w:numId w:val="1"/>
        </w:numPr>
        <w:spacing w:before="60"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 xml:space="preserve">X-tee keskkondadega liitumiseks avaldab klient RIA poolt nõutud andmed ning allkirjastab liitumislepingu ja esitab selle koos liitumiseks vajalike andmetega RIA-le. </w:t>
      </w:r>
      <w:r>
        <w:rPr>
          <w:rFonts w:ascii="Times New Roman" w:hAnsi="Times New Roman" w:cs="Times New Roman"/>
          <w:sz w:val="24"/>
          <w:szCs w:val="24"/>
          <w:lang w:eastAsia="et-EE"/>
        </w:rPr>
        <w:t xml:space="preserve">RIA-l on õigus vajadusel kliendilt täiendavat informatsiooni küsida. </w:t>
      </w:r>
    </w:p>
    <w:p w14:paraId="63B2286B"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RIA-l on õigus jätta liitumisleping sõlmimata ja keelduda kliendile X-tee liikmelisuse andmisest, kui: </w:t>
      </w:r>
    </w:p>
    <w:p w14:paraId="44C56B3C"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kliendil puudub unikaalne tunnus, millele on võimalik väljastada keskuse veebilehel avalikustatud nõuetele vastavat e-templi sertifikaati;</w:t>
      </w:r>
    </w:p>
    <w:p w14:paraId="64AFB8E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klient ei ole keskuse nõudmisel esitanud esindusõiguse tuvastamiseks vajalikke dokumente või isikul puudub kliendi esindamiseks esindusõigus; </w:t>
      </w:r>
    </w:p>
    <w:p w14:paraId="4454990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kliendi esitatud andmed ei ole tõesed;</w:t>
      </w:r>
    </w:p>
    <w:p w14:paraId="7C7EB292"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klient või tema infosüsteem ei vasta käesolevates üldtingimustes või Vabariigi Valitsuse 23.09.2016 määruses nr 105 „Infosüsteemide andmevahetuskiht“ esitatud nõuetele või X-tee toimimise põhimõtetele.</w:t>
      </w:r>
    </w:p>
    <w:p w14:paraId="23958ADE"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liikmelisuse andmisel saadab RIA kliendile allkirjastatud liitumislepingu.</w:t>
      </w:r>
    </w:p>
    <w:p w14:paraId="3AFD3BD8"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X-tee liikmelisus tekib pärast liitumislepingu sõlmimist koheselt. </w:t>
      </w:r>
    </w:p>
    <w:p w14:paraId="1FED951A"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787DD2CB" w14:textId="77777777" w:rsidR="0077418D" w:rsidRDefault="00D7678D">
      <w:pPr>
        <w:keepNext/>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POOLTE ÕIGUSED JA KOHUSTUSED</w:t>
      </w:r>
    </w:p>
    <w:p w14:paraId="0E0CB979" w14:textId="77777777" w:rsidR="0077418D" w:rsidRDefault="0077418D">
      <w:pPr>
        <w:keepNext/>
        <w:spacing w:after="0" w:line="240" w:lineRule="auto"/>
        <w:ind w:left="420"/>
        <w:rPr>
          <w:rFonts w:ascii="Times New Roman" w:eastAsia="Times New Roman" w:hAnsi="Times New Roman" w:cs="Times New Roman"/>
          <w:b/>
          <w:bCs/>
          <w:color w:val="000000"/>
          <w:sz w:val="24"/>
          <w:szCs w:val="24"/>
          <w:lang w:eastAsia="et-EE"/>
        </w:rPr>
      </w:pPr>
    </w:p>
    <w:p w14:paraId="193416E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õigus:</w:t>
      </w:r>
    </w:p>
    <w:p w14:paraId="7E5E4086"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kasutada X-teed üksnes õigusaktides ja liitumislepingus sätestatud tingimustel;</w:t>
      </w:r>
    </w:p>
    <w:p w14:paraId="00DE5AE1"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edastada teateid RIA kasutajatoele;</w:t>
      </w:r>
    </w:p>
    <w:p w14:paraId="6D512980"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nõuda teenuse osutamist vastavalt X-tee keskkondade teenustasemete tingimustele;</w:t>
      </w:r>
    </w:p>
    <w:p w14:paraId="5DB20371"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tutvuda X-tee tehnilise lahendusega.</w:t>
      </w:r>
    </w:p>
    <w:p w14:paraId="113AF9AB" w14:textId="77777777" w:rsidR="0077418D" w:rsidRDefault="0077418D">
      <w:pPr>
        <w:spacing w:after="0" w:line="240" w:lineRule="auto"/>
        <w:jc w:val="both"/>
        <w:rPr>
          <w:rFonts w:ascii="Times New Roman" w:eastAsia="Times New Roman" w:hAnsi="Times New Roman" w:cs="Times New Roman"/>
          <w:color w:val="000000"/>
          <w:sz w:val="24"/>
          <w:szCs w:val="24"/>
          <w:lang w:eastAsia="et-EE"/>
        </w:rPr>
      </w:pPr>
    </w:p>
    <w:p w14:paraId="1E88D30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t>X-tee liikmel on kohustus:</w:t>
      </w:r>
    </w:p>
    <w:p w14:paraId="0213F54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X-teega liitumise korral oma infosüsteemi järjepidevus, haldamine, arendamine ning turvaline ja häireteta töö;</w:t>
      </w:r>
    </w:p>
    <w:p w14:paraId="52B580C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võtta kasutusele turvalise ja standardiseeritud andmevahetuse tagamise elemendid: luua turvaline andmevahetuskanal, tagada e-templiga andmevahetuse terviklus, defineerida alamsüsteem, ühtlustada andmeteenuse osutamise nõuded, määrata kindlaks </w:t>
      </w:r>
      <w:r>
        <w:rPr>
          <w:rFonts w:ascii="Times New Roman" w:eastAsia="Times New Roman" w:hAnsi="Times New Roman" w:cs="Times New Roman"/>
          <w:color w:val="000000"/>
          <w:sz w:val="24"/>
          <w:szCs w:val="24"/>
          <w:lang w:eastAsia="et-EE"/>
        </w:rPr>
        <w:lastRenderedPageBreak/>
        <w:t>andmeteenuse kasutaja</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t-EE"/>
        </w:rPr>
        <w:t>andmeteenuse kasutamise kokkuleppe ja pääsuõiguse andmise kaudu;</w:t>
      </w:r>
    </w:p>
    <w:p w14:paraId="181B3AC7"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rakendada turvalisusega seotud riskide maandamiseks andmete terviklust, konfidentsiaalsust ja käideldavust tagavaid meetmeid ning tagama rakendatavate meetmete sõltumatu auditeerimise vähemalt iga nelja aasta järel; riigi ja kohaliku omavalitsuse asutus on kohustatud turvameetmete rakendamisel ning rakendatavate meetmete sõltumatu auditeerimise tagama vastavalt õigusaktidele; </w:t>
      </w:r>
    </w:p>
    <w:p w14:paraId="67AAA9E6"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täita RIA edastatud korraldusi;</w:t>
      </w:r>
    </w:p>
    <w:p w14:paraId="1944D2F2"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RIA-t esimesel võimalusel kontaktandmete muutumisest;</w:t>
      </w:r>
    </w:p>
    <w:p w14:paraId="005D411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viivitamata RIA-t X-tee kasutamisega seonduvast probleemist ja asjaolust, mis võib mõjutada RIA või X-tee liikme kohustuste täitmist;</w:t>
      </w:r>
    </w:p>
    <w:p w14:paraId="1496EB85"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viivitamata RIA-t X-tee kasutamist mõjutavast turvaintsidendist või selle vahetust ohust;</w:t>
      </w:r>
    </w:p>
    <w:p w14:paraId="7CD610D3"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esitada RIA nõudmisel turvaserveri turvalisuse hindamiseks vajaliku teabe, turvaeeskirjad ning rakendatud turvameetmete rakendamise kirjelduse;</w:t>
      </w:r>
    </w:p>
    <w:p w14:paraId="3B50701C" w14:textId="77777777" w:rsidR="0077418D" w:rsidRDefault="00D7678D">
      <w:pPr>
        <w:pStyle w:val="ListParagraph"/>
        <w:numPr>
          <w:ilvl w:val="2"/>
          <w:numId w:val="1"/>
        </w:numPr>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võimaldada X-tee turvaserverile RIA monitooringuserveri juurdepääs, kui pooled ei ole kokku leppinud teisiti;</w:t>
      </w:r>
    </w:p>
    <w:p w14:paraId="17E9BF03"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kasutada X-teed eesmärgipäraselt ja </w:t>
      </w:r>
      <w:r>
        <w:rPr>
          <w:rFonts w:ascii="Times New Roman" w:hAnsi="Times New Roman" w:cs="Times New Roman"/>
          <w:sz w:val="24"/>
          <w:szCs w:val="24"/>
        </w:rPr>
        <w:t>teha kõik endast olenev, et mitte kahjustada X-tee platvormi ja teisi X-tee liikmeid</w:t>
      </w:r>
      <w:r>
        <w:rPr>
          <w:rFonts w:ascii="Times New Roman" w:eastAsia="Times New Roman" w:hAnsi="Times New Roman" w:cs="Times New Roman"/>
          <w:color w:val="000000"/>
          <w:sz w:val="24"/>
          <w:szCs w:val="24"/>
          <w:lang w:eastAsia="et-EE"/>
        </w:rPr>
        <w:t xml:space="preserve">; </w:t>
      </w:r>
    </w:p>
    <w:p w14:paraId="7D518B96"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t-EE"/>
        </w:rPr>
        <w:t xml:space="preserve">teavitada RIA-t 48 tundi ette planeeritavatest muudatustest, mis võivad olla olulised X-tee kasutamise seisukohalt, sh toovad kaasa päringute mahu märkimisväärse kasvu; </w:t>
      </w:r>
    </w:p>
    <w:p w14:paraId="3C64EDDB"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color w:val="000000"/>
          <w:sz w:val="24"/>
          <w:szCs w:val="24"/>
          <w:lang w:eastAsia="et-EE"/>
        </w:rPr>
        <w:t>lugeda regulaarselt enda kontaktisiku e-posti aadressile RIA poolt saadetavaid kirju;</w:t>
      </w:r>
    </w:p>
    <w:p w14:paraId="0705C7D9" w14:textId="77777777" w:rsidR="0077418D" w:rsidRPr="009741A9" w:rsidRDefault="00D7678D">
      <w:pPr>
        <w:pStyle w:val="ListParagraph"/>
        <w:numPr>
          <w:ilvl w:val="2"/>
          <w:numId w:val="1"/>
        </w:numPr>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color w:val="000000"/>
          <w:sz w:val="24"/>
          <w:szCs w:val="24"/>
          <w:lang w:eastAsia="et-EE"/>
        </w:rPr>
        <w:t>hüvitada RIA-le lepingu rikkumisega süüliselt tekitatud otsene varaline kahju.</w:t>
      </w:r>
    </w:p>
    <w:p w14:paraId="03D088C8" w14:textId="77777777" w:rsidR="0077418D" w:rsidRDefault="0077418D">
      <w:pPr>
        <w:spacing w:after="0" w:line="240" w:lineRule="auto"/>
        <w:jc w:val="both"/>
        <w:rPr>
          <w:rFonts w:ascii="Times New Roman" w:hAnsi="Times New Roman" w:cs="Times New Roman"/>
          <w:b/>
          <w:sz w:val="24"/>
          <w:szCs w:val="24"/>
          <w:lang w:eastAsia="et-EE"/>
        </w:rPr>
      </w:pPr>
    </w:p>
    <w:p w14:paraId="721C15ED"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RIA-l on õigus:</w:t>
      </w:r>
    </w:p>
    <w:p w14:paraId="3A822AE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nõuda X-tee kasutamist eesmärgipäraselt ja kooskõlas liitumislepingus ning Vabariigi Valitsuse 23.09.2016 määruses nr 105 „Infosüsteemide andmevahetuskiht“ kirjeldatud nõuetega;</w:t>
      </w:r>
    </w:p>
    <w:p w14:paraId="2EB562F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seirata X-tee kasutamist </w:t>
      </w:r>
      <w:r>
        <w:rPr>
          <w:rFonts w:ascii="Times New Roman" w:eastAsia="Times New Roman" w:hAnsi="Times New Roman" w:cs="Times New Roman"/>
          <w:color w:val="000000"/>
          <w:sz w:val="24"/>
          <w:szCs w:val="24"/>
          <w:lang w:eastAsia="et-EE"/>
        </w:rPr>
        <w:t>statistilistel, kvaliteedi ja turvalisuse tagamise eesmärkidel</w:t>
      </w:r>
      <w:r>
        <w:rPr>
          <w:rFonts w:ascii="Times New Roman" w:hAnsi="Times New Roman" w:cs="Times New Roman"/>
          <w:sz w:val="24"/>
          <w:szCs w:val="24"/>
          <w:lang w:eastAsia="et-EE"/>
        </w:rPr>
        <w:t>;</w:t>
      </w:r>
    </w:p>
    <w:p w14:paraId="7FA1B52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koguda andmeteenuse monitooringu logisid andmetega, mis võimaldavad tuvastada X-tee liikme nimel päringu teinud isiku, ja säilitada neid kolm aastat nende kogumisest arvates, misjärel andmed anonüümitakse; </w:t>
      </w:r>
    </w:p>
    <w:p w14:paraId="79AE9D4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koostada ja avalikustada isikustamata kujul X-tee kasutamise statistikat, välja arvatud julgeolekuasutuse ja kaitseväeluure ülesannet täitva Kaitseväe struktuuriüksuse kohta;</w:t>
      </w:r>
    </w:p>
    <w:p w14:paraId="3AD5D650" w14:textId="77777777" w:rsidR="0077418D" w:rsidRDefault="00D7678D">
      <w:pPr>
        <w:pStyle w:val="ListParagraph"/>
        <w:numPr>
          <w:ilvl w:val="2"/>
          <w:numId w:val="1"/>
        </w:numPr>
        <w:spacing w:after="0" w:line="240" w:lineRule="auto"/>
        <w:jc w:val="both"/>
        <w:rPr>
          <w:lang w:eastAsia="et-EE"/>
        </w:rPr>
      </w:pPr>
      <w:r>
        <w:rPr>
          <w:rFonts w:ascii="Times New Roman" w:hAnsi="Times New Roman" w:cs="Times New Roman"/>
          <w:sz w:val="24"/>
          <w:szCs w:val="24"/>
          <w:lang w:eastAsia="et-EE"/>
        </w:rPr>
        <w:t>piirata X-tee liikme õigusi liitumislepingus või õigusaktides sätestatud juhtudel;</w:t>
      </w:r>
    </w:p>
    <w:p w14:paraId="388B8338"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peatada andmeteenuse kasutamiseks vajaliku informatsiooni kättesaadavus kliendi turvaserverile, kui klient rikub Vabariigi Valitsuse 23.09.2016 määruses nr 105 „Infosüsteemide andmevahetuskiht“, liitumislepingus või selle lisades või andmeteenuse vahendamise korras sätestatud tingimusi.</w:t>
      </w:r>
    </w:p>
    <w:p w14:paraId="5B35D21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teha märkusi X-tee mittesihtotstarbelise kasutamise kohta;</w:t>
      </w:r>
    </w:p>
    <w:p w14:paraId="3ACA630D"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käsitleda küberintsidente;</w:t>
      </w:r>
    </w:p>
    <w:p w14:paraId="0146AC43"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peatada X-tee kasutamise võimalus viivitamatult, kui seatakse ohtu X-tee käideldavus või turvalisus.</w:t>
      </w:r>
    </w:p>
    <w:p w14:paraId="0F4B4535" w14:textId="77777777" w:rsidR="0077418D" w:rsidRDefault="00D7678D">
      <w:pPr>
        <w:rPr>
          <w:rFonts w:ascii="Times New Roman" w:hAnsi="Times New Roman" w:cs="Times New Roman"/>
          <w:sz w:val="24"/>
          <w:szCs w:val="24"/>
          <w:lang w:eastAsia="et-EE"/>
        </w:rPr>
      </w:pPr>
      <w:r>
        <w:br w:type="page"/>
      </w:r>
    </w:p>
    <w:p w14:paraId="55AAC4F1" w14:textId="77777777" w:rsidR="0077418D" w:rsidRDefault="00D7678D">
      <w:pPr>
        <w:pStyle w:val="ListParagraph"/>
        <w:numPr>
          <w:ilvl w:val="1"/>
          <w:numId w:val="1"/>
        </w:numPr>
        <w:spacing w:before="60" w:after="0" w:line="240" w:lineRule="auto"/>
        <w:jc w:val="both"/>
        <w:rPr>
          <w:rFonts w:ascii="Times New Roman" w:eastAsia="Times New Roman" w:hAnsi="Times New Roman" w:cs="Times New Roman"/>
          <w:b/>
          <w:color w:val="000000"/>
          <w:sz w:val="24"/>
          <w:szCs w:val="24"/>
          <w:lang w:eastAsia="et-EE"/>
        </w:rPr>
      </w:pPr>
      <w:r>
        <w:rPr>
          <w:rFonts w:ascii="Times New Roman" w:eastAsia="Times New Roman" w:hAnsi="Times New Roman" w:cs="Times New Roman"/>
          <w:b/>
          <w:color w:val="000000"/>
          <w:sz w:val="24"/>
          <w:szCs w:val="24"/>
          <w:lang w:eastAsia="et-EE"/>
        </w:rPr>
        <w:lastRenderedPageBreak/>
        <w:t>RIA-l on kohustus:</w:t>
      </w:r>
    </w:p>
    <w:p w14:paraId="135229DB"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hallata X-tee keskkondades X-tee liikmete, X-teel registreeritud turvaserverite ja X-teega liitunud alamsüsteemides olevat infot, mis tagavad X-tee turvalise andmevahetuskanali loomiseks ja andmeteenuste kasutamiseks vajaliku informatsiooni kättesaadavuse X-tee liikme turvaserverile;</w:t>
      </w:r>
    </w:p>
    <w:p w14:paraId="521C7FB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korraldada X-tee liikmelisust, alamsüsteemi ja turvaserverit puudutavate taotluste menetlemist;</w:t>
      </w:r>
    </w:p>
    <w:p w14:paraId="2A5B6791"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töötada välja X-teega liitumise ja selle kasutamise tingimused ning avalikustada need RIA veebilehel;</w:t>
      </w:r>
    </w:p>
    <w:p w14:paraId="0FA0FD58"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X-tee kasutamise võimalus;</w:t>
      </w:r>
    </w:p>
    <w:p w14:paraId="2E23E06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nõustada X-liiget X-teega seotud küsimustes;</w:t>
      </w:r>
    </w:p>
    <w:p w14:paraId="3163A0B0"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teavitada X-tee liikme kontaktisikuid muudatustest X-tee haldamises või kasutamises ning kõigist teadaolevatest X-tee kasutamist takistavatest asjaoludest või hooldustöödest, arvestades teenustaseme tingimusi;</w:t>
      </w:r>
    </w:p>
    <w:p w14:paraId="5618434C" w14:textId="77777777" w:rsidR="0077418D" w:rsidRDefault="00D7678D">
      <w:pPr>
        <w:pStyle w:val="ListParagraph"/>
        <w:numPr>
          <w:ilvl w:val="2"/>
          <w:numId w:val="1"/>
        </w:numPr>
        <w:spacing w:before="60"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tagada standardiseeritud turvaserveri tarkvara kättesaadavuse;</w:t>
      </w:r>
    </w:p>
    <w:p w14:paraId="7BDA9FC2" w14:textId="77777777" w:rsidR="0077418D" w:rsidRDefault="00D7678D">
      <w:pPr>
        <w:pStyle w:val="ListParagraph"/>
        <w:numPr>
          <w:ilvl w:val="2"/>
          <w:numId w:val="1"/>
        </w:numPr>
        <w:spacing w:before="60"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luua võimalus X-tee kasutamiseks peale RIA poolset liitumislepingu allkirjastamist.</w:t>
      </w:r>
    </w:p>
    <w:p w14:paraId="0D2FDDED" w14:textId="77777777" w:rsidR="0077418D" w:rsidRDefault="0077418D">
      <w:pPr>
        <w:spacing w:after="0" w:line="240" w:lineRule="auto"/>
        <w:ind w:left="851" w:hanging="709"/>
        <w:jc w:val="both"/>
        <w:rPr>
          <w:rFonts w:ascii="Times New Roman" w:eastAsia="Times New Roman" w:hAnsi="Times New Roman" w:cs="Times New Roman"/>
          <w:color w:val="000000"/>
          <w:sz w:val="24"/>
          <w:szCs w:val="24"/>
          <w:lang w:eastAsia="et-EE"/>
        </w:rPr>
      </w:pPr>
    </w:p>
    <w:p w14:paraId="006177BC" w14:textId="77777777" w:rsidR="0077418D" w:rsidRDefault="00D7678D">
      <w:pPr>
        <w:pStyle w:val="NormalWeb"/>
        <w:numPr>
          <w:ilvl w:val="1"/>
          <w:numId w:val="1"/>
        </w:numPr>
        <w:spacing w:beforeAutospacing="0" w:after="0" w:afterAutospacing="0"/>
        <w:jc w:val="both"/>
        <w:rPr>
          <w:b/>
        </w:rPr>
      </w:pPr>
      <w:r>
        <w:rPr>
          <w:b/>
        </w:rPr>
        <w:t xml:space="preserve">Pooltel on kohustus: </w:t>
      </w:r>
    </w:p>
    <w:p w14:paraId="363B2856" w14:textId="77777777" w:rsidR="0077418D" w:rsidRDefault="00D7678D">
      <w:pPr>
        <w:pStyle w:val="NormalWeb"/>
        <w:numPr>
          <w:ilvl w:val="2"/>
          <w:numId w:val="1"/>
        </w:numPr>
        <w:spacing w:beforeAutospacing="0" w:after="0" w:afterAutospacing="0"/>
        <w:jc w:val="both"/>
      </w:pPr>
      <w:r>
        <w:t>esimesel võimalusel teisele poolele teatada kõigist asjaoludest, mis kahjustavad või võivad kahjustada teise poole infosüsteeme, samuti asjaoludest, mis võivad olla vajalikud tehniliste lahenduste ja süsteemide turvaliseks töötamiseks, hoolduseks või rikke kõrvaldamiseks;</w:t>
      </w:r>
    </w:p>
    <w:p w14:paraId="16873833" w14:textId="77777777" w:rsidR="0077418D" w:rsidRDefault="00D7678D">
      <w:pPr>
        <w:pStyle w:val="NormalWeb"/>
        <w:numPr>
          <w:ilvl w:val="2"/>
          <w:numId w:val="1"/>
        </w:numPr>
        <w:spacing w:beforeAutospacing="0" w:after="0" w:afterAutospacing="0"/>
        <w:jc w:val="both"/>
      </w:pPr>
      <w:r>
        <w:t xml:space="preserve">teist poolt mõjutava rikke ilmnemisel asuma koheselt riket kõrvaldama ja informeerima rikkest ja selle kestvusest teist poolt. </w:t>
      </w:r>
    </w:p>
    <w:p w14:paraId="5C83ACEE" w14:textId="77777777" w:rsidR="0077418D" w:rsidRDefault="0077418D">
      <w:pPr>
        <w:pStyle w:val="NormalWeb"/>
        <w:spacing w:beforeAutospacing="0" w:after="0" w:afterAutospacing="0"/>
        <w:jc w:val="both"/>
      </w:pPr>
    </w:p>
    <w:p w14:paraId="428E0D56" w14:textId="77777777" w:rsidR="0077418D" w:rsidRDefault="00D7678D">
      <w:pPr>
        <w:pStyle w:val="NormalWeb"/>
        <w:numPr>
          <w:ilvl w:val="0"/>
          <w:numId w:val="1"/>
        </w:numPr>
        <w:spacing w:beforeAutospacing="0" w:after="0" w:afterAutospacing="0"/>
        <w:jc w:val="both"/>
        <w:rPr>
          <w:b/>
        </w:rPr>
      </w:pPr>
      <w:r>
        <w:rPr>
          <w:b/>
        </w:rPr>
        <w:t>ERITINGIMUSED TURVALISE JA STANDARDISEERITUD ANDMEVAHETUSE TAGAMISEL</w:t>
      </w:r>
    </w:p>
    <w:p w14:paraId="5EA28524" w14:textId="77777777" w:rsidR="0077418D" w:rsidRDefault="0077418D">
      <w:pPr>
        <w:pStyle w:val="NormalWeb"/>
        <w:spacing w:beforeAutospacing="0" w:after="0" w:afterAutospacing="0"/>
        <w:jc w:val="both"/>
      </w:pPr>
    </w:p>
    <w:p w14:paraId="1BDA9B4F"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Turvalise andmevahetuskanali loomine</w:t>
      </w:r>
    </w:p>
    <w:p w14:paraId="2C84E863" w14:textId="77777777" w:rsidR="0077418D" w:rsidRDefault="0077418D">
      <w:pPr>
        <w:spacing w:after="0" w:line="240" w:lineRule="auto"/>
        <w:jc w:val="both"/>
        <w:rPr>
          <w:rFonts w:ascii="Times New Roman" w:hAnsi="Times New Roman" w:cs="Times New Roman"/>
          <w:b/>
          <w:sz w:val="24"/>
          <w:szCs w:val="24"/>
          <w:lang w:eastAsia="et-EE"/>
        </w:rPr>
      </w:pPr>
    </w:p>
    <w:p w14:paraId="01D3EAC5" w14:textId="77777777" w:rsidR="0077418D" w:rsidRDefault="00D7678D">
      <w:pPr>
        <w:pStyle w:val="NoSpacing"/>
        <w:numPr>
          <w:ilvl w:val="2"/>
          <w:numId w:val="1"/>
        </w:numPr>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paigaldada X-tee turvalise andmevahetuskanali loomise võimaldamiseks turvaserveri tarkvara infosüsteemi ning registreerida RIA-s turvaserveri autentimissertifikaat, mis peab vastama RIA veebilehel avaldatud nõuetele.</w:t>
      </w:r>
    </w:p>
    <w:p w14:paraId="39E24203" w14:textId="77777777"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kasutada vaid sellist turvaserveri tarkvara, mis järgib RIA poolt tunnustatud X-tee baasprotokollistikku.</w:t>
      </w:r>
    </w:p>
    <w:p w14:paraId="380B3AA5" w14:textId="77777777" w:rsidR="0077418D" w:rsidRDefault="00D7678D">
      <w:pPr>
        <w:pStyle w:val="NoSpacing"/>
        <w:numPr>
          <w:ilvl w:val="2"/>
          <w:numId w:val="1"/>
        </w:numPr>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kasutamisel:</w:t>
      </w:r>
    </w:p>
    <w:p w14:paraId="21D5965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tagada e-templiga kinnitatud X-teel vahetatud sõnumite päringulogi olemasolu ja päringulogi arhiveerimise korral töötada välja päringulogi arhiveerimise protseduur, mis sisaldab arhiveerimise sagedust ning arhiveeritava informatsiooni loetelu; </w:t>
      </w:r>
    </w:p>
    <w:p w14:paraId="19F595F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määrata isikud, kes ja millistel tingimustel saavad päringulogi arhiveerimise korral juurdepääsu turvaserveri arhiveeritud päringulogile;</w:t>
      </w:r>
    </w:p>
    <w:p w14:paraId="7D87296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tagada päringulogi arhiveerimisel arhiveeritud sõnumite töötlemisel samad konfidentsiaalsuse nõuded, mis on nõutud andmeteenuse kasutamiseks.</w:t>
      </w:r>
    </w:p>
    <w:p w14:paraId="454D2EBD"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RIA pakutava turvaserveri kasutamisel täita käesolevates üldtingimustes nimetatud kohustusi ja:</w:t>
      </w:r>
    </w:p>
    <w:p w14:paraId="3D06D0F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kasutada turvaserveri tarkvara vastavalt juhistele, mis on avalikustatud keskuse veebilehel; </w:t>
      </w:r>
    </w:p>
    <w:p w14:paraId="498B786F"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uuendada turvaserveri tarkvara hiljemalt kaks kuud pärast keskuse poolt tarkvarauuenduste kättesaadavaks tegemist.</w:t>
      </w:r>
    </w:p>
    <w:p w14:paraId="069818F6"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kohustus turvaserveri jagamisel teisele X-tee liikmele kasutada krüpteeritud ühendust ning kahepoolset autentimist turvaserveri ja alamsüsteemi ühendamiseks.</w:t>
      </w:r>
    </w:p>
    <w:p w14:paraId="140258A8"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X-tee liikmel on õigus majutada turvaserverit väljaspool Eesti Vabariigi jurisdiktsiooni all olevat territooriumit üksnes RIA loal, kui X-tee liige:</w:t>
      </w:r>
    </w:p>
    <w:p w14:paraId="390FDCD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tagab liitumislepingus ja Vabariigi Valitsuse 23.09.2016 määruses nr 105 „Infosüsteemide andmevahetuskiht“ sätestatud kohustuste täitmise;</w:t>
      </w:r>
    </w:p>
    <w:p w14:paraId="30987D6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rakendab turvalisusega seotud riskide maandamiseks andmete terviklust, konfidentsiaalsust ja käideldavust tagavaid meetmeid ning tagab rakendatavate meetmete sõltumatu auditeerimise vähemalt iga kahe aasta järel. </w:t>
      </w:r>
    </w:p>
    <w:p w14:paraId="650F829A"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1F1231E7" w14:textId="77777777" w:rsidR="0077418D" w:rsidRDefault="00D7678D">
      <w:pPr>
        <w:pStyle w:val="ListParagraph"/>
        <w:numPr>
          <w:ilvl w:val="1"/>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b/>
          <w:sz w:val="24"/>
          <w:szCs w:val="24"/>
          <w:lang w:eastAsia="et-EE"/>
        </w:rPr>
        <w:t>Andmevahetuse tervikluse tagamine e-templiga</w:t>
      </w:r>
    </w:p>
    <w:p w14:paraId="18112A3C"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Andmevahetuse terviklus ning X-teel vahetatud sõnumi ja X-tee liikme seose tuvastamine tagatakse e-templiga, mille loomiseks on klient kohustatud turvaserveris kasutama järgmisi Euroopa Parlamendi ja nõukogu määruse (EL) nr 910/2014 nõuetele vastavaid usaldusteenuseid:</w:t>
      </w:r>
    </w:p>
    <w:p w14:paraId="658E05E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sertifitseerimise teenus, mille kaudu väljastatakse e-templi kvalifitseeritud sertifikaat;</w:t>
      </w:r>
    </w:p>
    <w:p w14:paraId="148655E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sertifikaadi kehtivuskinnituse teenus;</w:t>
      </w:r>
    </w:p>
    <w:p w14:paraId="009A3B9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ajatempliteenus.</w:t>
      </w:r>
    </w:p>
    <w:p w14:paraId="37EDAE75"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õigus kasutada e-templi loomisel RIA väljastatavat e-templi sertifikaati.</w:t>
      </w:r>
    </w:p>
    <w:p w14:paraId="344A8FBA"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X-teel moodustunud e-tempel on kehtiv, kui kasutatud sertifikaadi kehtivuskinnituse ja ajatempli ajavahe ei ole rohkem kui kaheksa tundi.</w:t>
      </w:r>
    </w:p>
    <w:p w14:paraId="2B78B3FB"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liikmel on keelatud töödelda X-teel vahetatud andmeid, mida ei ole võimalik kinnitada käesolevates üldtingimustes kirjeldatud nõuetele vastava e-templiga.</w:t>
      </w:r>
    </w:p>
    <w:p w14:paraId="509D5CC1"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3FFC3746"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Alamsüsteemi liidestamine X-teega</w:t>
      </w:r>
    </w:p>
    <w:p w14:paraId="49E1462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peab teenuse kasutamiseks või osutamiseks X-teel alamsüsteemi RIA-s registreerima ja esitama selleks RIA-le taotluse.</w:t>
      </w:r>
    </w:p>
    <w:p w14:paraId="624C47B0"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 X-teel on võimalik registreerida vaid sellist alamsüsteemi:</w:t>
      </w:r>
    </w:p>
    <w:p w14:paraId="236713C4"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millele on määratud alamsüsteemi toimimise eest vastutav füüsiline isik ja alamsüsteemi teenindava turvaserveri administraatori kontaktandmed;</w:t>
      </w:r>
    </w:p>
    <w:p w14:paraId="446DFE1A"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mille suhtes rakendatakse turvalisusega seotud riskide maandamiseks andmete terviklust, konfidentsiaalsust ja käideldavust tagavaid meetmeid ning tagatakse rakendatavate meetmete sõltumatu auditeerimine vähemalt iga nelja aasta järel, kui õigusaktidega ei ole ettenähtud teisiti.</w:t>
      </w:r>
    </w:p>
    <w:p w14:paraId="4AB9F241"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alamsüsteemi registreerimise järel kohustatud:</w:t>
      </w:r>
    </w:p>
    <w:p w14:paraId="5A8F740A"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määrama töö- ja ametikohad, kellel on õigus alamsüsteemi ja seeläbi alamsüsteemile võimaldatud andmeteenuseid kasutada, ning lubama organisatsioonisiseselt juurdepääsu vaid selleks õigustatud isikutele;</w:t>
      </w:r>
    </w:p>
    <w:p w14:paraId="4C6387F6"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X-teega liidestatud alamsüsteemi turvalise ja häireteta töö ning vastavuse X-tee liikmete vahelisele andmeteenuse kasutamise kokkuleppele.</w:t>
      </w:r>
    </w:p>
    <w:p w14:paraId="2163CA8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RIA-l on õigus alamsüsteemi registreerimise taotlus tagasi lükata või registreeritud alamsüsteem registrist kustutada, kui mõni üldtingimustes esitatud nõue on täitmata.</w:t>
      </w:r>
    </w:p>
    <w:p w14:paraId="0C5D4E93" w14:textId="77777777" w:rsidR="0077418D" w:rsidRDefault="0077418D">
      <w:pPr>
        <w:pStyle w:val="ListParagraph"/>
        <w:spacing w:after="0" w:line="240" w:lineRule="auto"/>
        <w:jc w:val="both"/>
        <w:rPr>
          <w:rFonts w:ascii="Times New Roman" w:hAnsi="Times New Roman" w:cs="Times New Roman"/>
          <w:sz w:val="24"/>
          <w:szCs w:val="24"/>
          <w:lang w:eastAsia="et-EE"/>
        </w:rPr>
      </w:pPr>
    </w:p>
    <w:p w14:paraId="729C1359" w14:textId="77777777" w:rsidR="0077418D" w:rsidRDefault="00D7678D">
      <w:pPr>
        <w:pStyle w:val="ListParagraph"/>
        <w:numPr>
          <w:ilvl w:val="1"/>
          <w:numId w:val="1"/>
        </w:numPr>
        <w:spacing w:after="0" w:line="240" w:lineRule="auto"/>
        <w:jc w:val="both"/>
        <w:rPr>
          <w:rFonts w:ascii="Times New Roman" w:hAnsi="Times New Roman" w:cs="Times New Roman"/>
          <w:b/>
          <w:sz w:val="24"/>
          <w:szCs w:val="24"/>
          <w:lang w:eastAsia="et-EE"/>
        </w:rPr>
      </w:pPr>
      <w:r>
        <w:rPr>
          <w:rFonts w:ascii="Times New Roman" w:hAnsi="Times New Roman" w:cs="Times New Roman"/>
          <w:b/>
          <w:sz w:val="24"/>
          <w:szCs w:val="24"/>
          <w:lang w:eastAsia="et-EE"/>
        </w:rPr>
        <w:t>Andmeteenuse osutamine, kasutamine ja vahendamine</w:t>
      </w:r>
    </w:p>
    <w:p w14:paraId="689F352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 peab:</w:t>
      </w:r>
    </w:p>
    <w:p w14:paraId="3EC6910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vastama RIA kehtestatud X-tee sõnumiprotokollile;</w:t>
      </w:r>
    </w:p>
    <w:p w14:paraId="62B58E8E"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olema dokumenteeritud koos RIA nõuetele vastava ning aja- ja asjakohase andmeteenuse kirjeldusega ja sisaldama informatsiooni andmeteenuse kasutamiseks vajalike turvameetmete kohta, arvestades andmeteenuses sisalduvate andmete koosseisu ning andmeteenuse iseloomu.</w:t>
      </w:r>
    </w:p>
    <w:p w14:paraId="6A2ACA74"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Andmeteenust osutatakse ja kasutatakse vastavalt X-tee liikmete vahelisele andmeteenuse kasutamise kokkuleppele, milles määratakse kindlaks:</w:t>
      </w:r>
    </w:p>
    <w:p w14:paraId="06A5C16D"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lastRenderedPageBreak/>
        <w:t>andmeteenuse kasutamiseks vajalikud infoturbemeetmed ning andmeteenuse kasutaja alamsüsteemilt nõutavad organisatsioonilised, füüsilised ja infotehnilised turvameetmed, arvestades töödeldavate andmete koosseisu ning õigusaktidega ettenähtud nõudeid;</w:t>
      </w:r>
    </w:p>
    <w:p w14:paraId="1FFA1AB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kolmandale isikule vahendamise luba;</w:t>
      </w:r>
    </w:p>
    <w:p w14:paraId="58DE8C3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teenustaseme tingimused.</w:t>
      </w:r>
    </w:p>
    <w:p w14:paraId="6CB69969"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osutamisel kohustatud:</w:t>
      </w:r>
    </w:p>
    <w:p w14:paraId="3428332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registreerima andmeteenuse koos andmeteenuse tehnilise kirjeldusega turvaserveris ja hoidma andmeteenuse kirjelduse turvaserveris ajakohasena;</w:t>
      </w:r>
    </w:p>
    <w:p w14:paraId="053F292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veenduma, et andmeteenuse kasutaja rakendab turvalisusega seotud riskide maandamiseks piisavaid andmete terviklust, konfidentsiaalsust ja käideldavust tagavaid meetmeid;</w:t>
      </w:r>
    </w:p>
    <w:p w14:paraId="63196ED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X-tee infosüsteemi pääsuõiguse kooskõla X-tee liikmete vahelise andmeteenuse kasutamise kokkuleppega.</w:t>
      </w:r>
    </w:p>
    <w:p w14:paraId="61BD189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kasutamine on võimalik X-tee liikme alamsüsteemis, millele on antud konkreetse andmeteenuse kasutamiseks pääsuõigus.</w:t>
      </w:r>
    </w:p>
    <w:p w14:paraId="2E667DA7"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kasutaja ja osutajana kohustatud:</w:t>
      </w:r>
    </w:p>
    <w:p w14:paraId="2CEF4D1B"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andmeteenuse kasutamise kokkulepet;</w:t>
      </w:r>
    </w:p>
    <w:p w14:paraId="736DCBB0"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siduma turvaserverisse laekunud sõnumid ajatempliga;</w:t>
      </w:r>
    </w:p>
    <w:p w14:paraId="562C18B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tagama oma infosüsteemi kaudu andmeteenuse osutamisel või kasutamisel osaleva lõppkasutaja autentimise ja autoriseerimise.</w:t>
      </w:r>
    </w:p>
    <w:p w14:paraId="74BC44F2"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võib võimaldada alamsüsteemile ligipääsu organisatsioonivälisele isikule vaid juhul, kui:</w:t>
      </w:r>
    </w:p>
    <w:p w14:paraId="75ADE169"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koostanud ja avalikustanud andmeteenuse vahendamise korra, mis sisaldab andmeteenuse vahendamise alust, andmeteenust kasutava alamsüsteemi vahendatu autentimise ja autoriseerimise korda, andmeteenust kasutava alamsüsteemi vahendatu autentimise ja autoriseerimise logi arhiveerimise korda ja logi säilitamise tähtaega ning X-tee päringulogi arhiveerimise ning arhiivile juurdepääsu korda ja säilitamise tähtaega;</w:t>
      </w:r>
    </w:p>
    <w:p w14:paraId="2AAD6FC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end andmeteenuse vahendajana X-teel registreerinud;</w:t>
      </w:r>
    </w:p>
    <w:p w14:paraId="5AA52DA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andmeteenuse vahendamise luba on fikseeritud X-tee liikmete vahelises andmeteenuse kasutamise kokkuleppes.</w:t>
      </w:r>
    </w:p>
    <w:p w14:paraId="0DD4769F" w14:textId="77777777" w:rsidR="0077418D" w:rsidRDefault="00D7678D">
      <w:pPr>
        <w:pStyle w:val="ListParagraph"/>
        <w:numPr>
          <w:ilvl w:val="2"/>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X-tee liige on andmeteenuse vahendajana kohustatud:</w:t>
      </w:r>
    </w:p>
    <w:p w14:paraId="2AD77247"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järgima enda kehtestatud andmeteenuse vahendamise korda;</w:t>
      </w:r>
    </w:p>
    <w:p w14:paraId="2647D055"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teavitama keskust ja andmeteenuse osutajat, kelle andmeteenuse kasutamiseks on vahendajal pääsuõigus, andmeteenuse vahendamise korra muutumisest;</w:t>
      </w:r>
    </w:p>
    <w:p w14:paraId="2C100BBF"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lähtuma X-tee liikmete vahelises andmeteenuse kasutamise kokkuleppes kindlaks määratud pooltevahelistest õigustest ja kohustustest ning veenduma andmeteenuse vahendamise lubatavuses;</w:t>
      </w:r>
    </w:p>
    <w:p w14:paraId="7E9F6112" w14:textId="77777777" w:rsidR="0077418D" w:rsidRDefault="00D7678D">
      <w:pPr>
        <w:pStyle w:val="ListParagraph"/>
        <w:numPr>
          <w:ilvl w:val="3"/>
          <w:numId w:val="1"/>
        </w:num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avaldama andmeteenuse pakkujale alamsüsteemi vahendatud osaliste andmed vastavalt X-tee baasprotokollistikule.</w:t>
      </w:r>
    </w:p>
    <w:p w14:paraId="435BE2B4" w14:textId="77777777" w:rsidR="0077418D" w:rsidRDefault="00D7678D">
      <w:pPr>
        <w:rPr>
          <w:rFonts w:ascii="Times New Roman" w:eastAsia="Times New Roman" w:hAnsi="Times New Roman" w:cs="Times New Roman"/>
          <w:b/>
          <w:bCs/>
          <w:color w:val="000000"/>
          <w:sz w:val="24"/>
          <w:szCs w:val="24"/>
          <w:lang w:eastAsia="et-EE"/>
        </w:rPr>
      </w:pPr>
      <w:r>
        <w:br w:type="page"/>
      </w:r>
    </w:p>
    <w:p w14:paraId="3714F446"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TEAVITUSTE VORM</w:t>
      </w:r>
    </w:p>
    <w:p w14:paraId="39EBF5F3" w14:textId="77777777" w:rsidR="0077418D" w:rsidRDefault="00D7678D">
      <w:p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Pooled saadavad kõik teated elektrooniliselt e-posti teel või X-tee iseteeninduskeskkonna kaudu. Erandiks on teavitamine intsidendi korral, kui võidakse kasutada teavitamist telefoni teel.</w:t>
      </w:r>
    </w:p>
    <w:p w14:paraId="2C4740EC" w14:textId="77777777" w:rsidR="0077418D" w:rsidRDefault="0077418D">
      <w:pPr>
        <w:spacing w:after="0" w:line="240" w:lineRule="auto"/>
        <w:rPr>
          <w:rFonts w:ascii="Times New Roman" w:eastAsia="Times New Roman" w:hAnsi="Times New Roman" w:cs="Times New Roman"/>
          <w:color w:val="000000"/>
          <w:sz w:val="24"/>
          <w:szCs w:val="24"/>
          <w:lang w:eastAsia="et-EE"/>
        </w:rPr>
      </w:pPr>
    </w:p>
    <w:p w14:paraId="449268D0"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TASU JA ARVELDUSED</w:t>
      </w:r>
    </w:p>
    <w:p w14:paraId="3FCBCD8D" w14:textId="77777777"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Teenusega liitumine on kliendile tasuta.</w:t>
      </w:r>
    </w:p>
    <w:p w14:paraId="089979D6" w14:textId="77777777" w:rsidR="0077418D" w:rsidRDefault="00D7678D">
      <w:pPr>
        <w:pStyle w:val="ListParagraph"/>
        <w:numPr>
          <w:ilvl w:val="1"/>
          <w:numId w:val="1"/>
        </w:numPr>
        <w:spacing w:after="0" w:line="240" w:lineRule="auto"/>
        <w:rPr>
          <w:rFonts w:ascii="Times New Roman" w:eastAsia="Times New Roman" w:hAnsi="Times New Roman" w:cs="Times New Roman"/>
          <w:bCs/>
          <w:color w:val="000000"/>
          <w:sz w:val="24"/>
          <w:szCs w:val="24"/>
          <w:lang w:eastAsia="et-EE"/>
        </w:rPr>
      </w:pPr>
      <w:r>
        <w:rPr>
          <w:rFonts w:ascii="Times New Roman" w:hAnsi="Times New Roman" w:cs="Times New Roman"/>
          <w:sz w:val="24"/>
          <w:szCs w:val="24"/>
          <w:lang w:eastAsia="et-EE"/>
        </w:rPr>
        <w:t xml:space="preserve">X-tee liikmel </w:t>
      </w:r>
      <w:r>
        <w:rPr>
          <w:rFonts w:ascii="Times New Roman" w:eastAsia="Times New Roman" w:hAnsi="Times New Roman" w:cs="Times New Roman"/>
          <w:bCs/>
          <w:color w:val="000000"/>
          <w:sz w:val="24"/>
          <w:szCs w:val="24"/>
          <w:lang w:eastAsia="et-EE"/>
        </w:rPr>
        <w:t xml:space="preserve">tuleb katta </w:t>
      </w:r>
      <w:r>
        <w:rPr>
          <w:rFonts w:ascii="Times New Roman" w:hAnsi="Times New Roman" w:cs="Times New Roman"/>
          <w:sz w:val="24"/>
          <w:szCs w:val="24"/>
          <w:lang w:eastAsia="et-EE"/>
        </w:rPr>
        <w:t xml:space="preserve">enda infosüsteemi arendamise ja liidestamise kulud ning </w:t>
      </w:r>
      <w:r>
        <w:rPr>
          <w:rFonts w:ascii="Times New Roman" w:eastAsia="Times New Roman" w:hAnsi="Times New Roman" w:cs="Times New Roman"/>
          <w:bCs/>
          <w:color w:val="000000"/>
          <w:sz w:val="24"/>
          <w:szCs w:val="24"/>
          <w:lang w:eastAsia="et-EE"/>
        </w:rPr>
        <w:t>enda infosüsteemi komponentide soetamise ja pidamisega seotud kulud.</w:t>
      </w:r>
    </w:p>
    <w:p w14:paraId="02E3B188" w14:textId="77777777" w:rsidR="0077418D" w:rsidRDefault="0077418D">
      <w:pPr>
        <w:spacing w:after="0" w:line="240" w:lineRule="auto"/>
        <w:jc w:val="both"/>
        <w:rPr>
          <w:rFonts w:ascii="Times New Roman" w:eastAsia="Times New Roman" w:hAnsi="Times New Roman" w:cs="Times New Roman"/>
          <w:b/>
          <w:bCs/>
          <w:color w:val="000000"/>
          <w:sz w:val="24"/>
          <w:szCs w:val="24"/>
          <w:lang w:eastAsia="et-EE"/>
        </w:rPr>
      </w:pPr>
    </w:p>
    <w:p w14:paraId="741E5704"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AVALIKU TEABE JA ISIKUANDMETE TÖÖTLEMINE</w:t>
      </w:r>
    </w:p>
    <w:p w14:paraId="4AFD1F87"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Kuivõrd RIA võimaldab X-tee kasutamist seadusest ja põhimäärusest tuleneva haldusülesandena, on selle ülesande raames tekkiv teave avalik teave, millele seatakse juurdepääsupiirangud seaduses sätestatud alustel ja korras. </w:t>
      </w:r>
    </w:p>
    <w:p w14:paraId="6BAF5E2C"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Teenuse raames töödeldavate isikuandmete koosseis ja andmete säilitamise tähtajad on sätestatud andmekaitsetingimustes.</w:t>
      </w:r>
    </w:p>
    <w:p w14:paraId="41BCBFE9"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Pooled kohustuvad hoidma saladuses X-tee kasutamisel teatavaks saanud juurdepääsupiiranguga teavet ning töötlema ja avaldama seda üksnes </w:t>
      </w:r>
      <w:r>
        <w:rPr>
          <w:rFonts w:ascii="Times New Roman" w:eastAsia="Times New Roman" w:hAnsi="Times New Roman" w:cs="Times New Roman"/>
          <w:color w:val="000000"/>
          <w:sz w:val="24"/>
          <w:szCs w:val="24"/>
          <w:lang w:eastAsia="et-EE"/>
        </w:rPr>
        <w:t>seaduses sätestatud alustel ja korras</w:t>
      </w:r>
      <w:r>
        <w:rPr>
          <w:rFonts w:ascii="Times New Roman" w:eastAsia="Times New Roman" w:hAnsi="Times New Roman" w:cs="Times New Roman"/>
          <w:sz w:val="24"/>
          <w:szCs w:val="24"/>
          <w:lang w:eastAsia="et-EE"/>
        </w:rPr>
        <w:t xml:space="preserve">. </w:t>
      </w:r>
    </w:p>
    <w:p w14:paraId="011B262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Saladuses hoidmise kohustus (konfidentsiaalsuskohustus) kehtib vastavalt juurdepääsupiirangu tähtaegadele sõltumata lepingu kehtivusest või lõppemisest.</w:t>
      </w:r>
    </w:p>
    <w:p w14:paraId="0992D40D"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color w:val="000000"/>
          <w:sz w:val="24"/>
          <w:szCs w:val="24"/>
          <w:lang w:eastAsia="et-EE"/>
        </w:rPr>
        <w:t>Pooled edastavad juurdepääsupiiranguga teavet ainult nendele töötajatele, kes on teenusega otseselt seotud, ja kindlustavad, et need töötajad on teadlikud ja täidavad konfidentsiaalsuse nõuet.</w:t>
      </w:r>
    </w:p>
    <w:p w14:paraId="60DDA733"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rakendavad juurdepääsupiiranguga teabe, sealhulgas isikuandmete kaitseks asjakohaseid tehnilisi ja korralduslikke meetmeid tagamaks isikuandmete konfidentsiaalsuse, tervikluse ja käideldavuse. </w:t>
      </w:r>
    </w:p>
    <w:p w14:paraId="326448E0"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 xml:space="preserve">Pooled teavitavad üksteist viivitamatult konfidentsiaalsuskohustuse täitmisega seonduvatest takistustest, mis on tekkinud või tõenäoliselt võivad tekkida. </w:t>
      </w:r>
    </w:p>
    <w:p w14:paraId="4C4C867A" w14:textId="77777777" w:rsidR="0077418D" w:rsidRDefault="00D7678D">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Konfidentsiaalsuskohustuse rikkumist käsitletakse kui lepingu olulist rikkumist. </w:t>
      </w:r>
    </w:p>
    <w:p w14:paraId="2ECFCCA4" w14:textId="77777777" w:rsidR="0077418D" w:rsidRDefault="0077418D">
      <w:pPr>
        <w:spacing w:after="0" w:line="240" w:lineRule="auto"/>
        <w:ind w:left="420" w:hanging="420"/>
        <w:jc w:val="both"/>
        <w:rPr>
          <w:rFonts w:ascii="Times New Roman" w:eastAsia="Times New Roman" w:hAnsi="Times New Roman" w:cs="Times New Roman"/>
          <w:color w:val="000000"/>
          <w:sz w:val="24"/>
          <w:szCs w:val="24"/>
          <w:lang w:eastAsia="et-EE"/>
        </w:rPr>
      </w:pPr>
    </w:p>
    <w:p w14:paraId="74EA6CA4"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 xml:space="preserve">TINGIMUSTE MUUTMINE </w:t>
      </w:r>
    </w:p>
    <w:p w14:paraId="6056D13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RIA-l on õigus ühepoolselt muuta käesolevaid üldtingimusi ja muid liitumislepingu lisasid, kui seda tingivad muudatused kehtivates õigusaktides või tavades, vastava valdkonna või teenuste tehnilised või sisulised arengud, klientidele teenuste kasutamiseks täiendavate või paremate võimaluste loomine või vajadus täpsustada teenuste osutamise või kasutamisega seotud asjaolusid. Üldtingimuste muudatustest teatab RIA kliendile kirjalikult hiljemalt 14 kalendripäeva ette.</w:t>
      </w:r>
    </w:p>
    <w:p w14:paraId="7DA49AD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ei nõustu punktis 9.1 nimetatud muudatusega, on tal õigus X-tee liikmelisus lõpetada, esitades selleks RIA-le avalduse. X-tee liikmelisuse lõpetamiseni on liitumisleping kehtiv ja X-tee liige on kohustatud täitma oma kohustusi, kusjuures nende kohustuste täitmise osas kohaldatakse X-tee liikme suhtes seniseid tingimusi.</w:t>
      </w:r>
    </w:p>
    <w:p w14:paraId="2ED634D4"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Kui X-tee liige 1 (ühe) kuu jooksul arvates muudatuste kehtima hakkamise teate saamise päevast ei avalda soovi X-tee liikmelisuse lõpetamiseks, loetakse, et ta on vaikimisega nõustunud muudetud tingimustega.</w:t>
      </w:r>
    </w:p>
    <w:p w14:paraId="6AB57E5B" w14:textId="77777777" w:rsidR="0077418D" w:rsidRDefault="00D7678D">
      <w:pPr>
        <w:rPr>
          <w:rFonts w:ascii="Times New Roman" w:eastAsia="Times New Roman" w:hAnsi="Times New Roman" w:cs="Times New Roman"/>
          <w:b/>
          <w:bCs/>
          <w:color w:val="000000"/>
          <w:sz w:val="24"/>
          <w:szCs w:val="24"/>
          <w:lang w:eastAsia="et-EE"/>
        </w:rPr>
      </w:pPr>
      <w:r>
        <w:br w:type="page"/>
      </w:r>
    </w:p>
    <w:p w14:paraId="4FBD64FD" w14:textId="77777777" w:rsidR="0077418D" w:rsidRDefault="00D7678D">
      <w:pPr>
        <w:pStyle w:val="ListParagraph"/>
        <w:numPr>
          <w:ilvl w:val="0"/>
          <w:numId w:val="1"/>
        </w:numPr>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VASTUTUS</w:t>
      </w:r>
    </w:p>
    <w:p w14:paraId="2FD82862"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X-tee kasutamise kättesaadavust ja kvaliteeti mõjutavate RIA-st mittesõltuvate asjaolude eest (sh X-tee päringute toimimise eest ulatuses, milles need on kolmanda osapoole vastutusalas) ega häirete, informatsiooni edastamise viivituste, jms juhtumite eest, mis ei allu RIA kontrollile.</w:t>
      </w:r>
    </w:p>
    <w:p w14:paraId="129215B7"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RIA ei vastuta kliendi tegevuse või tegevusetusega põhjustatud andmete hävimise või kadumise ega teenuse mittetoimimise eest juhul, kui katkestus on põhjustatud kliendi tegevusest või tegevusetusest.</w:t>
      </w:r>
    </w:p>
    <w:p w14:paraId="0957C65B"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ei vastuta kohustuste täitmata jätmise eest, kui see tuleneb vääramatust jõust. Vääramatu jõuna käsitlevad pooled asjaolu, mida pool ei saa mõjutada, sealhulgas, kuid mitte ainult tulekahju, plahvatus, loodusõnnetus, sõda, streik, üldine elektrikatkestus, äike, erakordsed ilmastikuolud.</w:t>
      </w:r>
    </w:p>
    <w:p w14:paraId="07613F5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Pool, kelle tegevus kokkuleppega sätestatud kohustuste täitmisel on takistatud vääramatu jõu asjaolude tõttu, on kohustatud sellest teisele poolele teatama esimesel võimalusel, kasutades sidevahendeid, mis tagavad operatiivseima infovahetuse.</w:t>
      </w:r>
    </w:p>
    <w:p w14:paraId="38C8B65E"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color w:val="000000"/>
          <w:sz w:val="24"/>
          <w:szCs w:val="24"/>
          <w:lang w:eastAsia="et-EE"/>
        </w:rPr>
        <w:t>Vääramatust jõust teatamisel lepivad pooled kokku, mil viisil ning mis mahus jätkata kokkuleppe täitmist kooskõlas riikliku kriisireguleerimise plaaniga. Antud kokkulepe vormistatakse esimesel võimalusel kirjalikult.</w:t>
      </w:r>
    </w:p>
    <w:p w14:paraId="0708F6FD" w14:textId="77777777" w:rsidR="0077418D" w:rsidRDefault="0077418D">
      <w:pPr>
        <w:pStyle w:val="ListParagraph"/>
        <w:spacing w:after="0" w:line="240" w:lineRule="auto"/>
        <w:ind w:left="420"/>
        <w:jc w:val="both"/>
        <w:rPr>
          <w:rFonts w:ascii="Times New Roman" w:eastAsia="Times New Roman" w:hAnsi="Times New Roman" w:cs="Times New Roman"/>
          <w:b/>
          <w:bCs/>
          <w:color w:val="000000"/>
          <w:sz w:val="24"/>
          <w:szCs w:val="24"/>
          <w:lang w:eastAsia="et-EE"/>
        </w:rPr>
      </w:pPr>
    </w:p>
    <w:p w14:paraId="7DF7FC48" w14:textId="77777777"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LEPINGU LÕPPEMINE</w:t>
      </w:r>
    </w:p>
    <w:p w14:paraId="2D965516"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Leping lõppeb lepingus, üldtingimustes ja/või õigusaktides toodud alustel.</w:t>
      </w:r>
    </w:p>
    <w:p w14:paraId="7B4AFB4A"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X-tee liikmel on igal ajal õigus liikmesus üles öelda, esitades RIA-le vastavasisulise kirjaliku avalduse. Kui liikmelisuse ülesütlemise avalduses ei ole märgitud X-tee liikmesuse lõppemise tähtpäeva, lõpeb liikmesus eelnimetatud avalduse kättesaamisele järgnevast tööpäevast.</w:t>
      </w:r>
    </w:p>
    <w:p w14:paraId="06973EF9"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RIA-l on õigus X-tee liikme liikmesus lõpetada, teavitades X-tee liiget elektronposti teel 30 kalendripäeva ette, kui X-tee liikmele ei ole seadusega pandud kohustustust andmevahetuse korraldamiseks X-tee kaudu. </w:t>
      </w:r>
    </w:p>
    <w:p w14:paraId="735777F2" w14:textId="77777777" w:rsidR="0077418D" w:rsidRDefault="00D7678D">
      <w:pPr>
        <w:pStyle w:val="ListParagraph"/>
        <w:numPr>
          <w:ilvl w:val="1"/>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RIA-l on õigus liikmelisus kohe lõpetada, kui:</w:t>
      </w:r>
    </w:p>
    <w:p w14:paraId="7DA18688"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klient rikub Vabariigi Valitsuse 23.09.2016 määruses nr 105 „Infosüsteemide andmevahetuskiht“, liitumislepingus või selle lisades või andmeteenuse vahendamise korras sätestatud tingimusi või seab ohtu </w:t>
      </w:r>
      <w:r>
        <w:rPr>
          <w:rFonts w:ascii="Times New Roman" w:eastAsia="Times New Roman" w:hAnsi="Times New Roman" w:cs="Times New Roman"/>
          <w:color w:val="000000"/>
          <w:sz w:val="24"/>
          <w:szCs w:val="24"/>
          <w:lang w:eastAsia="et-EE"/>
        </w:rPr>
        <w:t>X-tee käideldavuse või turvalisuse</w:t>
      </w:r>
      <w:r>
        <w:rPr>
          <w:rFonts w:ascii="Times New Roman" w:eastAsia="Times New Roman" w:hAnsi="Times New Roman" w:cs="Times New Roman"/>
          <w:bCs/>
          <w:color w:val="000000"/>
          <w:sz w:val="24"/>
          <w:szCs w:val="24"/>
          <w:lang w:eastAsia="et-EE"/>
        </w:rPr>
        <w:t>;</w:t>
      </w:r>
    </w:p>
    <w:p w14:paraId="38B306C5"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on esitanud vale- või puudulikke andmeid;</w:t>
      </w:r>
    </w:p>
    <w:p w14:paraId="471774AE" w14:textId="77777777" w:rsidR="0077418D" w:rsidRDefault="00D7678D">
      <w:pPr>
        <w:pStyle w:val="ListParagraph"/>
        <w:numPr>
          <w:ilvl w:val="2"/>
          <w:numId w:val="1"/>
        </w:numPr>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klient rikub lepingu punktides 8.4, 8.6, 8.7 või 8.8 nimetatud kohustust.</w:t>
      </w:r>
    </w:p>
    <w:p w14:paraId="69E40B21" w14:textId="77777777" w:rsidR="0077418D" w:rsidRDefault="00D7678D">
      <w:pPr>
        <w:pStyle w:val="ListParagraph"/>
        <w:numPr>
          <w:ilvl w:val="1"/>
          <w:numId w:val="1"/>
        </w:numPr>
        <w:spacing w:before="40" w:after="40" w:line="240" w:lineRule="auto"/>
        <w:ind w:right="113"/>
        <w:jc w:val="both"/>
        <w:textAlignment w:val="baseline"/>
        <w:rPr>
          <w:rFonts w:ascii="Times New Roman" w:hAnsi="Times New Roman" w:cs="Times New Roman"/>
        </w:rPr>
      </w:pPr>
      <w:r>
        <w:rPr>
          <w:rFonts w:ascii="Times New Roman" w:eastAsia="Times New Roman" w:hAnsi="Times New Roman" w:cs="Times New Roman"/>
          <w:bCs/>
          <w:color w:val="000000"/>
          <w:sz w:val="24"/>
          <w:szCs w:val="24"/>
          <w:lang w:eastAsia="et-EE"/>
        </w:rPr>
        <w:t>Lepingu ülesütlemine või lõppemine ei vabasta poolt kohustusest täita teise poole ees lepingu kestuse ajal tekkinud kohustusi.</w:t>
      </w:r>
    </w:p>
    <w:p w14:paraId="6C8BDB9C" w14:textId="77777777" w:rsidR="0077418D" w:rsidRDefault="00D7678D">
      <w:pPr>
        <w:pStyle w:val="ListParagraph"/>
        <w:numPr>
          <w:ilvl w:val="0"/>
          <w:numId w:val="1"/>
        </w:numPr>
        <w:spacing w:after="0" w:line="240" w:lineRule="auto"/>
        <w:jc w:val="both"/>
        <w:rPr>
          <w:rFonts w:ascii="Times New Roman" w:eastAsia="Times New Roman" w:hAnsi="Times New Roman" w:cs="Times New Roman"/>
          <w:b/>
          <w:bCs/>
          <w:color w:val="000000"/>
          <w:sz w:val="24"/>
          <w:szCs w:val="24"/>
          <w:lang w:eastAsia="et-EE"/>
        </w:rPr>
      </w:pPr>
      <w:r>
        <w:br w:type="page"/>
      </w:r>
    </w:p>
    <w:p w14:paraId="4C74DBB8" w14:textId="77777777" w:rsidR="0077418D" w:rsidRDefault="00D7678D">
      <w:pPr>
        <w:tabs>
          <w:tab w:val="left" w:pos="6148"/>
        </w:tabs>
        <w:spacing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lastRenderedPageBreak/>
        <w:t>Infosüsteemide andmevahetuskihi X-tee andmekaitsetingimused (lisa 2)</w:t>
      </w:r>
    </w:p>
    <w:p w14:paraId="3A1DF8D6" w14:textId="77777777"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14:paraId="2ADFFF29" w14:textId="77777777" w:rsidR="0077418D" w:rsidRDefault="0077418D">
      <w:pPr>
        <w:tabs>
          <w:tab w:val="left" w:pos="6148"/>
        </w:tabs>
        <w:spacing w:after="0" w:line="240" w:lineRule="auto"/>
        <w:rPr>
          <w:rFonts w:ascii="Times New Roman" w:eastAsia="Times New Roman" w:hAnsi="Times New Roman" w:cs="Times New Roman"/>
          <w:b/>
          <w:bCs/>
          <w:color w:val="000000"/>
          <w:sz w:val="24"/>
          <w:szCs w:val="24"/>
          <w:lang w:eastAsia="et-EE"/>
        </w:rPr>
      </w:pPr>
    </w:p>
    <w:p w14:paraId="6E4CA46E" w14:textId="77777777" w:rsidR="0077418D" w:rsidRDefault="00D7678D">
      <w:pPr>
        <w:tabs>
          <w:tab w:val="left" w:pos="6148"/>
        </w:tabs>
        <w:spacing w:after="0" w:line="240" w:lineRule="auto"/>
        <w:jc w:val="both"/>
        <w:rPr>
          <w:rFonts w:ascii="Times New Roman" w:eastAsia="Times New Roman" w:hAnsi="Times New Roman" w:cs="Times New Roman"/>
          <w:bCs/>
          <w:color w:val="000000"/>
          <w:sz w:val="24"/>
          <w:szCs w:val="24"/>
          <w:lang w:eastAsia="et-EE"/>
        </w:rPr>
      </w:pPr>
      <w:r>
        <w:rPr>
          <w:rFonts w:ascii="Times New Roman" w:eastAsia="Times New Roman" w:hAnsi="Times New Roman" w:cs="Times New Roman"/>
          <w:bCs/>
          <w:color w:val="000000"/>
          <w:sz w:val="24"/>
          <w:szCs w:val="24"/>
          <w:lang w:eastAsia="et-EE"/>
        </w:rPr>
        <w:t xml:space="preserve">Käesolevas dokumendis selgitatakse, milliseid isikuandmeid ja millisel eesmärgil Riigi Infosüsteemi Amet (edaspidi </w:t>
      </w:r>
      <w:r>
        <w:rPr>
          <w:rFonts w:ascii="Times New Roman" w:eastAsia="Times New Roman" w:hAnsi="Times New Roman" w:cs="Times New Roman"/>
          <w:bCs/>
          <w:i/>
          <w:color w:val="000000"/>
          <w:sz w:val="24"/>
          <w:szCs w:val="24"/>
          <w:lang w:eastAsia="et-EE"/>
        </w:rPr>
        <w:t>RIA</w:t>
      </w:r>
      <w:r>
        <w:rPr>
          <w:rFonts w:ascii="Times New Roman" w:eastAsia="Times New Roman" w:hAnsi="Times New Roman" w:cs="Times New Roman"/>
          <w:bCs/>
          <w:color w:val="000000"/>
          <w:sz w:val="24"/>
          <w:szCs w:val="24"/>
          <w:lang w:eastAsia="et-EE"/>
        </w:rPr>
        <w:t xml:space="preserve">) infosüsteemide andmevahetuskihi (edaspidi </w:t>
      </w:r>
      <w:r>
        <w:rPr>
          <w:rFonts w:ascii="Times New Roman" w:eastAsia="Times New Roman" w:hAnsi="Times New Roman" w:cs="Times New Roman"/>
          <w:bCs/>
          <w:i/>
          <w:color w:val="000000"/>
          <w:sz w:val="24"/>
          <w:szCs w:val="24"/>
          <w:lang w:eastAsia="et-EE"/>
        </w:rPr>
        <w:t>X-tee</w:t>
      </w:r>
      <w:r>
        <w:rPr>
          <w:rFonts w:ascii="Times New Roman" w:eastAsia="Times New Roman" w:hAnsi="Times New Roman" w:cs="Times New Roman"/>
          <w:bCs/>
          <w:color w:val="000000"/>
          <w:sz w:val="24"/>
          <w:szCs w:val="24"/>
          <w:lang w:eastAsia="et-EE"/>
        </w:rPr>
        <w:t>) haldamisel töötleb. Käesolevad andmekaitsetingimused rakenduvad kõikidele X-tee keskkondadele.</w:t>
      </w:r>
    </w:p>
    <w:p w14:paraId="0D4CF651" w14:textId="77777777" w:rsidR="0077418D" w:rsidRDefault="0077418D">
      <w:pPr>
        <w:rPr>
          <w:rFonts w:ascii="Times New Roman" w:eastAsia="Calibri" w:hAnsi="Times New Roman" w:cs="Times New Roman"/>
          <w:sz w:val="24"/>
          <w:szCs w:val="24"/>
        </w:rPr>
      </w:pPr>
    </w:p>
    <w:p w14:paraId="5C92398C" w14:textId="77777777" w:rsidR="0077418D" w:rsidRDefault="00D7678D">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Andmesubjekt</w:t>
      </w:r>
      <w:r>
        <w:rPr>
          <w:rFonts w:ascii="Times New Roman" w:eastAsia="Calibri" w:hAnsi="Times New Roman" w:cs="Times New Roman"/>
          <w:sz w:val="24"/>
          <w:szCs w:val="24"/>
        </w:rPr>
        <w:t xml:space="preserve"> (edaspidi </w:t>
      </w:r>
      <w:r>
        <w:rPr>
          <w:rFonts w:ascii="Times New Roman" w:eastAsia="Calibri" w:hAnsi="Times New Roman" w:cs="Times New Roman"/>
          <w:i/>
          <w:sz w:val="24"/>
          <w:szCs w:val="24"/>
        </w:rPr>
        <w:t>kasutaja</w:t>
      </w:r>
      <w:r>
        <w:rPr>
          <w:rFonts w:ascii="Times New Roman" w:eastAsia="Calibri" w:hAnsi="Times New Roman" w:cs="Times New Roman"/>
          <w:sz w:val="24"/>
          <w:szCs w:val="24"/>
        </w:rPr>
        <w:t>) on füüsiline isik, kes on X-tee liikme nimel volitatud tegema või teeb omaenda andmete kohta X-tee keskkonnas päringuid.</w:t>
      </w:r>
    </w:p>
    <w:p w14:paraId="70B68B92" w14:textId="77777777" w:rsidR="0077418D" w:rsidRDefault="0077418D">
      <w:pPr>
        <w:spacing w:after="0" w:line="240" w:lineRule="auto"/>
        <w:contextualSpacing/>
        <w:jc w:val="both"/>
        <w:rPr>
          <w:rFonts w:ascii="Times New Roman" w:eastAsia="Calibri" w:hAnsi="Times New Roman" w:cs="Times New Roman"/>
          <w:sz w:val="24"/>
          <w:szCs w:val="24"/>
        </w:rPr>
      </w:pPr>
    </w:p>
    <w:p w14:paraId="26154678" w14:textId="77777777" w:rsidR="0077418D" w:rsidRDefault="00D7678D">
      <w:pPr>
        <w:pStyle w:val="ListParagraph"/>
        <w:numPr>
          <w:ilvl w:val="0"/>
          <w:numId w:val="3"/>
        </w:num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ANDMETE KOOSSEIS</w:t>
      </w:r>
    </w:p>
    <w:p w14:paraId="193D28C3"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RIA töötleb X-tee kasutamise raames isikuandmeid tuvastamaks X-tee liikme nimel päringu teinud isiku.</w:t>
      </w:r>
    </w:p>
    <w:p w14:paraId="5A517909"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RIA seirab X-tee kasutamist ja kogub kasutusstatistikat. Kasutusstatistika kogumine eeldab X-tee liikme turvaserveri andmeteenuse monitooringulogi (operational monitoring) andmete kogumist. Keskuse poolt kogutavad logifailid sisaldavad üksnes päiseväljasid, mis sisaldavad andmeid, milline X-tee liige, millisel ajahetkel ja millise X-tee liikmega andmeid üle X-tee vahetas. </w:t>
      </w:r>
    </w:p>
    <w:p w14:paraId="029D30F4"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Andmeteenuse monitooringulogi ja X-tee liikme nimel päringu teinud isiku kogumise osas on RIA </w:t>
      </w:r>
      <w:r>
        <w:rPr>
          <w:rFonts w:ascii="Times New Roman" w:hAnsi="Times New Roman" w:cs="Times New Roman"/>
          <w:sz w:val="24"/>
          <w:szCs w:val="24"/>
          <w:lang w:eastAsia="et-EE"/>
        </w:rPr>
        <w:t xml:space="preserve">isikuandmete vastutav töötleja. </w:t>
      </w:r>
    </w:p>
    <w:p w14:paraId="636BBC95"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liikme turvaserveri andmeteenuse monitooringulogi sisaldab kasutaja kohta järgmisi andmeid:</w:t>
      </w:r>
    </w:p>
    <w:p w14:paraId="372E85F6"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kasutajat identifitseerivad andmed;</w:t>
      </w:r>
    </w:p>
    <w:p w14:paraId="0ED5F314"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autenditud ja autoriseeritud kasutaja isikukood;</w:t>
      </w:r>
    </w:p>
    <w:p w14:paraId="40DB0F65" w14:textId="77777777" w:rsidR="0077418D" w:rsidRDefault="00D7678D">
      <w:pPr>
        <w:pStyle w:val="ListParagraph"/>
        <w:numPr>
          <w:ilvl w:val="2"/>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tehnilised andmed: </w:t>
      </w:r>
    </w:p>
    <w:p w14:paraId="2EEA7A52"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päringu tegemise ja vastuse saamise kuupäev ja kellaaeg;</w:t>
      </w:r>
    </w:p>
    <w:p w14:paraId="74637374"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X-tee keskkonna, X-tee liikme, tema alamsüsteemi nimetus ja kasutatud teenuse kood ning versiooni tunnused;</w:t>
      </w:r>
    </w:p>
    <w:p w14:paraId="265116EA"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 xml:space="preserve">päringu ja vastuse suurus ning manuste arv; </w:t>
      </w:r>
    </w:p>
    <w:p w14:paraId="0FE8C688" w14:textId="77777777" w:rsidR="0077418D" w:rsidRDefault="00D7678D">
      <w:pPr>
        <w:pStyle w:val="ListParagraph"/>
        <w:numPr>
          <w:ilvl w:val="3"/>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muu tehniline informatsioon turvaserverit läbinud päringu kohta.</w:t>
      </w:r>
    </w:p>
    <w:p w14:paraId="701519BC" w14:textId="77777777" w:rsidR="0077418D" w:rsidRDefault="00D7678D">
      <w:pPr>
        <w:pStyle w:val="ListParagraph"/>
        <w:numPr>
          <w:ilvl w:val="1"/>
          <w:numId w:val="4"/>
        </w:numPr>
        <w:spacing w:after="0" w:line="240" w:lineRule="auto"/>
        <w:jc w:val="both"/>
        <w:rPr>
          <w:rFonts w:ascii="Times New Roman" w:eastAsia="Times New Roman" w:hAnsi="Times New Roman" w:cs="Times New Roman"/>
          <w:color w:val="000000"/>
          <w:sz w:val="24"/>
          <w:szCs w:val="24"/>
          <w:lang w:eastAsia="et-EE"/>
        </w:rPr>
      </w:pPr>
      <w:r>
        <w:rPr>
          <w:rFonts w:ascii="Times New Roman" w:eastAsia="Times New Roman" w:hAnsi="Times New Roman" w:cs="Times New Roman"/>
          <w:color w:val="000000"/>
          <w:sz w:val="24"/>
          <w:szCs w:val="24"/>
          <w:lang w:eastAsia="et-EE"/>
        </w:rPr>
        <w:t>Keskuse poolt kogutavad logifailid ei sisalda X-teel tehtud päringute ega vastuste keha elemendi sisu, sh milliseid isikuandmeid ja millises koosseisus X-teel vahetatud sõnumid sisaldavad.</w:t>
      </w:r>
    </w:p>
    <w:p w14:paraId="74892253" w14:textId="77777777" w:rsidR="0077418D" w:rsidRDefault="0077418D">
      <w:pPr>
        <w:spacing w:after="0" w:line="240" w:lineRule="auto"/>
        <w:contextualSpacing/>
        <w:jc w:val="both"/>
        <w:rPr>
          <w:rFonts w:ascii="Times New Roman" w:eastAsia="Calibri" w:hAnsi="Times New Roman" w:cs="Times New Roman"/>
          <w:sz w:val="24"/>
          <w:szCs w:val="24"/>
        </w:rPr>
      </w:pPr>
    </w:p>
    <w:p w14:paraId="4BF6D30C" w14:textId="77777777"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ANDMETE SÄILITAMINE</w:t>
      </w:r>
    </w:p>
    <w:p w14:paraId="570B47CD" w14:textId="77777777"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Tähtaeg</w:t>
      </w:r>
      <w:r>
        <w:rPr>
          <w:rFonts w:ascii="Times New Roman" w:eastAsia="Calibri" w:hAnsi="Times New Roman" w:cs="Times New Roman"/>
          <w:sz w:val="24"/>
          <w:szCs w:val="24"/>
        </w:rPr>
        <w:t>: RIA säilitab monitooringulogi kasutaja isikuandmeid sisaldaval kujul 3 aastat andmete kogumisest arvates. Pärast 3-aastase tähtaja möödumist eemaldatakse logidest isikuandmeid sisaldav osa (ehk isikukood) ja logisid säilitatakse isikustamata kujul edasi alaliselt.</w:t>
      </w:r>
    </w:p>
    <w:p w14:paraId="66CE7882" w14:textId="77777777" w:rsidR="0077418D" w:rsidRDefault="00D7678D">
      <w:pPr>
        <w:pStyle w:val="ListParagraph"/>
        <w:numPr>
          <w:ilvl w:val="1"/>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Eesmärk</w:t>
      </w:r>
      <w:r>
        <w:rPr>
          <w:rFonts w:ascii="Times New Roman" w:eastAsia="Calibri" w:hAnsi="Times New Roman" w:cs="Times New Roman"/>
          <w:sz w:val="24"/>
          <w:szCs w:val="24"/>
        </w:rPr>
        <w:t>: RIA säilitab monitooringulogi:</w:t>
      </w:r>
    </w:p>
    <w:p w14:paraId="19F208CB"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teenuse väärkasutamise, samuti küberrünnakute avastamiseks ja uurimiseks; </w:t>
      </w:r>
    </w:p>
    <w:p w14:paraId="754806FE"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tehniliste tõrgete avastamiseks ja kõrvaldamiseks (tehniline tõrge võib olla nii riist- kui tarkvara viga, võrguühenduse viga jms);</w:t>
      </w:r>
    </w:p>
    <w:p w14:paraId="674147C4"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X-tee liikmete poolt raporteeritud tehniliste probleemide põhjuste väljaselgitamiseks;</w:t>
      </w:r>
    </w:p>
    <w:p w14:paraId="4E6B1008" w14:textId="77777777" w:rsidR="0077418D" w:rsidRDefault="00D7678D">
      <w:pPr>
        <w:pStyle w:val="ListParagraph"/>
        <w:numPr>
          <w:ilvl w:val="2"/>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kasutajate pöördumiste (teated võimalike turvaprobleemide või tehniliste rikete kohta) menetlemiseks.</w:t>
      </w:r>
    </w:p>
    <w:p w14:paraId="7C52D6F9" w14:textId="77777777" w:rsidR="0077418D" w:rsidRDefault="00D7678D">
      <w:pPr>
        <w:jc w:val="both"/>
        <w:rPr>
          <w:rFonts w:ascii="Times New Roman" w:eastAsia="Calibri" w:hAnsi="Times New Roman" w:cs="Times New Roman"/>
          <w:sz w:val="24"/>
          <w:szCs w:val="24"/>
        </w:rPr>
      </w:pPr>
      <w:r>
        <w:br w:type="page"/>
      </w:r>
    </w:p>
    <w:p w14:paraId="110E0705" w14:textId="77777777" w:rsidR="0077418D" w:rsidRDefault="00D7678D">
      <w:pPr>
        <w:pStyle w:val="ListParagraph"/>
        <w:numPr>
          <w:ilvl w:val="0"/>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ANDMETE AVALDAMINE</w:t>
      </w:r>
    </w:p>
    <w:p w14:paraId="62300855"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avalikustamine</w:t>
      </w:r>
      <w:r>
        <w:rPr>
          <w:rFonts w:ascii="Times New Roman" w:eastAsia="Calibri" w:hAnsi="Times New Roman" w:cs="Times New Roman"/>
          <w:sz w:val="24"/>
          <w:szCs w:val="24"/>
        </w:rPr>
        <w:t xml:space="preserve">: RIA avalikustab X-tee kasutamist puudutavaid statistilisi andmeid  veebilehel www.ria.ee.  Kasutusstatistika andmed avalikustatakse avaandmetena üldistatud ja isikustamata kujul. </w:t>
      </w:r>
    </w:p>
    <w:p w14:paraId="67BC8396"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Juurdepääs logidele</w:t>
      </w:r>
      <w:r>
        <w:rPr>
          <w:rFonts w:ascii="Times New Roman" w:eastAsia="Calibri" w:hAnsi="Times New Roman" w:cs="Times New Roman"/>
          <w:sz w:val="24"/>
          <w:szCs w:val="24"/>
        </w:rPr>
        <w:t>: logidele juurdepääs on korraldatud rangelt pääsuõiguste põhiselt. Pääsuõigused on loodud üksnes teenuse käitamisega otseselt seotud süsteemi- ja teenusehalduritele. Põhjendatud juhul võimaldatakse juurdepääs küberintsidentide menetlemisega tegelevatele teenistujatele.</w:t>
      </w:r>
    </w:p>
    <w:p w14:paraId="4611021C" w14:textId="77777777" w:rsidR="0077418D" w:rsidRDefault="00D7678D">
      <w:pPr>
        <w:pStyle w:val="ListParagraph"/>
        <w:numPr>
          <w:ilvl w:val="1"/>
          <w:numId w:val="3"/>
        </w:num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u w:val="single"/>
        </w:rPr>
        <w:t>Andmete väljastamine seaduse alusel</w:t>
      </w:r>
      <w:r>
        <w:rPr>
          <w:rFonts w:ascii="Times New Roman" w:eastAsia="Calibri" w:hAnsi="Times New Roman" w:cs="Times New Roman"/>
          <w:sz w:val="24"/>
          <w:szCs w:val="24"/>
        </w:rPr>
        <w:t xml:space="preserve">: andmeid võidakse väljastada ka juhul, kui seda näeb ette seadus (näiteks õiguskaitseasutusele kriminaalmenetluses või andmesubjektile tema taotlusel). </w:t>
      </w:r>
    </w:p>
    <w:p w14:paraId="158AC63D" w14:textId="77777777" w:rsidR="0077418D" w:rsidRDefault="0077418D">
      <w:pPr>
        <w:spacing w:after="0" w:line="240" w:lineRule="auto"/>
        <w:contextualSpacing/>
        <w:jc w:val="both"/>
        <w:rPr>
          <w:rFonts w:ascii="Times New Roman" w:eastAsia="Calibri" w:hAnsi="Times New Roman" w:cs="Times New Roman"/>
          <w:sz w:val="24"/>
          <w:szCs w:val="24"/>
        </w:rPr>
      </w:pPr>
    </w:p>
    <w:p w14:paraId="07E3D261" w14:textId="77777777" w:rsidR="0077418D" w:rsidRDefault="0077418D">
      <w:pPr>
        <w:spacing w:after="0" w:line="240" w:lineRule="auto"/>
        <w:contextualSpacing/>
        <w:jc w:val="both"/>
        <w:rPr>
          <w:rFonts w:ascii="Times New Roman" w:eastAsia="Calibri" w:hAnsi="Times New Roman" w:cs="Times New Roman"/>
          <w:sz w:val="24"/>
          <w:szCs w:val="24"/>
        </w:rPr>
      </w:pPr>
    </w:p>
    <w:p w14:paraId="4A0A79E7" w14:textId="77777777" w:rsidR="0077418D" w:rsidRDefault="00D7678D">
      <w:pPr>
        <w:jc w:val="both"/>
        <w:rPr>
          <w:rFonts w:ascii="Times New Roman" w:eastAsia="Calibri" w:hAnsi="Times New Roman" w:cs="Times New Roman"/>
          <w:sz w:val="24"/>
          <w:szCs w:val="24"/>
        </w:rPr>
      </w:pPr>
      <w:r>
        <w:br w:type="page"/>
      </w:r>
    </w:p>
    <w:p w14:paraId="0EF36245" w14:textId="77777777" w:rsidR="0077418D" w:rsidRDefault="00D7678D">
      <w:pPr>
        <w:pStyle w:val="Standard"/>
        <w:rPr>
          <w:rFonts w:eastAsiaTheme="minorHAnsi"/>
          <w:kern w:val="0"/>
          <w:lang w:eastAsia="en-US"/>
        </w:rPr>
      </w:pPr>
      <w:r>
        <w:rPr>
          <w:b/>
        </w:rPr>
        <w:lastRenderedPageBreak/>
        <w:t>Infosüsteemide andmevahetuskihi X-tee teenustaseme tingimused (lisa 3)</w:t>
      </w:r>
    </w:p>
    <w:p w14:paraId="2A0DB241" w14:textId="77777777" w:rsidR="0077418D" w:rsidRDefault="0077418D">
      <w:pPr>
        <w:pStyle w:val="Standard"/>
        <w:rPr>
          <w:b/>
        </w:rPr>
      </w:pPr>
    </w:p>
    <w:p w14:paraId="6A7C4280" w14:textId="77777777" w:rsidR="0077418D" w:rsidRDefault="0077418D">
      <w:pPr>
        <w:pStyle w:val="Standard"/>
        <w:rPr>
          <w:b/>
        </w:rPr>
      </w:pPr>
    </w:p>
    <w:tbl>
      <w:tblPr>
        <w:tblpPr w:leftFromText="142" w:rightFromText="142" w:vertAnchor="page" w:horzAnchor="margin" w:tblpY="2701"/>
        <w:tblW w:w="9747" w:type="dxa"/>
        <w:tblLayout w:type="fixed"/>
        <w:tblLook w:val="0000" w:firstRow="0" w:lastRow="0" w:firstColumn="0" w:lastColumn="0" w:noHBand="0" w:noVBand="0"/>
      </w:tblPr>
      <w:tblGrid>
        <w:gridCol w:w="3008"/>
        <w:gridCol w:w="6739"/>
      </w:tblGrid>
      <w:tr w:rsidR="0077418D" w14:paraId="0E8585B5"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3C100F01"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nimi</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F1C5F6C" w14:textId="77777777" w:rsidR="0077418D" w:rsidRDefault="00D7678D">
            <w:pPr>
              <w:widowControl w:val="0"/>
              <w:spacing w:line="240" w:lineRule="auto"/>
              <w:rPr>
                <w:rFonts w:ascii="Times New Roman" w:hAnsi="Times New Roman" w:cs="Times New Roman"/>
                <w:b/>
                <w:sz w:val="24"/>
                <w:szCs w:val="24"/>
              </w:rPr>
            </w:pPr>
            <w:r>
              <w:rPr>
                <w:rFonts w:ascii="Times New Roman" w:eastAsia="Times New Roman" w:hAnsi="Times New Roman" w:cs="Times New Roman"/>
                <w:b/>
                <w:sz w:val="24"/>
                <w:szCs w:val="24"/>
              </w:rPr>
              <w:t>Infosüsteemide andmevahetuskiht X-tee</w:t>
            </w:r>
          </w:p>
        </w:tc>
      </w:tr>
      <w:tr w:rsidR="0077418D" w14:paraId="338A2EBD"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33673191"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omanik</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E56617" w14:textId="77777777" w:rsidR="0077418D" w:rsidRDefault="00D7678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Andmevahetuse osakonna osakonnajuhataja</w:t>
            </w:r>
          </w:p>
        </w:tc>
      </w:tr>
      <w:tr w:rsidR="0077418D" w14:paraId="24A858F9"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572FCCD8"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Nõuete kehtivusaeg</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FD25F8C" w14:textId="77777777" w:rsidR="0077418D" w:rsidRDefault="00D7678D">
            <w:pPr>
              <w:widowControl w:val="0"/>
              <w:spacing w:line="240" w:lineRule="auto"/>
              <w:rPr>
                <w:rFonts w:ascii="Times New Roman" w:eastAsia="Times New Roman" w:hAnsi="Times New Roman" w:cs="Times New Roman"/>
                <w:b/>
                <w:sz w:val="24"/>
                <w:szCs w:val="24"/>
              </w:rPr>
            </w:pPr>
            <w:r>
              <w:rPr>
                <w:rFonts w:ascii="Times New Roman" w:hAnsi="Times New Roman" w:cs="Times New Roman"/>
                <w:sz w:val="24"/>
                <w:szCs w:val="24"/>
              </w:rPr>
              <w:t>Alates käskkirja kinnitamisest kuni käskkirja muutmise või kehtetuks tunnistamiseni.</w:t>
            </w:r>
          </w:p>
        </w:tc>
      </w:tr>
      <w:tr w:rsidR="0077418D" w14:paraId="67E4CB5A"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696A1D80" w14:textId="77777777" w:rsidR="0077418D" w:rsidRDefault="00D7678D">
            <w:pPr>
              <w:widowControl w:val="0"/>
              <w:spacing w:line="240" w:lineRule="auto"/>
              <w:rPr>
                <w:rFonts w:ascii="Times New Roman" w:hAnsi="Times New Roman" w:cs="Times New Roman"/>
                <w:b/>
                <w:bCs/>
                <w:sz w:val="24"/>
                <w:szCs w:val="24"/>
              </w:rPr>
            </w:pPr>
            <w:r>
              <w:rPr>
                <w:rFonts w:ascii="Times New Roman" w:hAnsi="Times New Roman" w:cs="Times New Roman"/>
                <w:b/>
                <w:bCs/>
                <w:sz w:val="24"/>
                <w:szCs w:val="24"/>
              </w:rPr>
              <w:t>Teenuse lühikirjeldus</w:t>
            </w:r>
          </w:p>
        </w:tc>
        <w:tc>
          <w:tcPr>
            <w:tcW w:w="67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FA978F" w14:textId="77777777" w:rsidR="0077418D" w:rsidRDefault="0077418D">
            <w:pPr>
              <w:widowControl w:val="0"/>
              <w:spacing w:after="0" w:line="240" w:lineRule="auto"/>
              <w:jc w:val="both"/>
              <w:rPr>
                <w:rFonts w:ascii="Times New Roman" w:hAnsi="Times New Roman" w:cs="Times New Roman"/>
                <w:sz w:val="24"/>
                <w:szCs w:val="24"/>
              </w:rPr>
            </w:pPr>
          </w:p>
          <w:p w14:paraId="76951D8A" w14:textId="77777777" w:rsidR="0077418D" w:rsidRDefault="00D7678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Infosüsteemide andmevahetusplatvorm, mille vahendusel on keskkonna kasutajatel võimalik omavahel osutada ja/või kasutada kokkulepitud veebiteenuseid.</w:t>
            </w:r>
          </w:p>
          <w:p w14:paraId="519B3A1B" w14:textId="77777777" w:rsidR="0077418D" w:rsidRDefault="00D7678D">
            <w:pPr>
              <w:widowControl w:val="0"/>
              <w:spacing w:after="0" w:line="240" w:lineRule="auto"/>
              <w:jc w:val="both"/>
              <w:rPr>
                <w:rFonts w:ascii="Times New Roman" w:eastAsia="Times New Roman" w:hAnsi="Times New Roman" w:cs="Times New Roman"/>
                <w:color w:val="000000"/>
                <w:sz w:val="24"/>
                <w:szCs w:val="24"/>
                <w:lang w:eastAsia="et-EE"/>
              </w:rPr>
            </w:pPr>
            <w:r>
              <w:rPr>
                <w:rFonts w:ascii="Times New Roman" w:hAnsi="Times New Roman" w:cs="Times New Roman"/>
                <w:sz w:val="24"/>
                <w:szCs w:val="24"/>
              </w:rPr>
              <w:t>Veebiteenuste keskkonna näol on tegemist internetipõhise lahendusega, kus omavaheliseks suhtlemiseks kasutatakse spetsiaalset X-Road tehnoloogiat.</w:t>
            </w:r>
          </w:p>
          <w:p w14:paraId="4B110B21" w14:textId="77777777" w:rsidR="0077418D" w:rsidRDefault="0077418D">
            <w:pPr>
              <w:widowControl w:val="0"/>
              <w:spacing w:after="0" w:line="240" w:lineRule="auto"/>
              <w:jc w:val="both"/>
              <w:rPr>
                <w:rFonts w:ascii="Times New Roman" w:hAnsi="Times New Roman" w:cs="Times New Roman"/>
                <w:sz w:val="24"/>
                <w:szCs w:val="24"/>
              </w:rPr>
            </w:pPr>
          </w:p>
        </w:tc>
      </w:tr>
      <w:tr w:rsidR="0077418D" w14:paraId="4FED0329" w14:textId="77777777">
        <w:trPr>
          <w:cantSplit/>
          <w:trHeight w:val="20"/>
        </w:trPr>
        <w:tc>
          <w:tcPr>
            <w:tcW w:w="3008" w:type="dxa"/>
            <w:tcBorders>
              <w:top w:val="single" w:sz="4" w:space="0" w:color="000000"/>
              <w:left w:val="single" w:sz="4" w:space="0" w:color="000000"/>
            </w:tcBorders>
            <w:shd w:val="clear" w:color="auto" w:fill="F3F3F3"/>
            <w:vAlign w:val="center"/>
          </w:tcPr>
          <w:p w14:paraId="4F5A17C8" w14:textId="77777777" w:rsidR="0077418D" w:rsidRDefault="00D7678D">
            <w:pPr>
              <w:pStyle w:val="Standard"/>
              <w:widowControl w:val="0"/>
              <w:snapToGrid w:val="0"/>
              <w:spacing w:after="0"/>
              <w:rPr>
                <w:b/>
              </w:rPr>
            </w:pPr>
            <w:r>
              <w:rPr>
                <w:b/>
                <w:bCs/>
              </w:rPr>
              <w:t>Teenuse teavitused</w:t>
            </w:r>
          </w:p>
        </w:tc>
        <w:tc>
          <w:tcPr>
            <w:tcW w:w="6738" w:type="dxa"/>
            <w:tcBorders>
              <w:top w:val="single" w:sz="4" w:space="0" w:color="000000"/>
              <w:left w:val="single" w:sz="4" w:space="0" w:color="000000"/>
              <w:bottom w:val="single" w:sz="4" w:space="0" w:color="000000"/>
              <w:right w:val="single" w:sz="4" w:space="0" w:color="000000"/>
            </w:tcBorders>
            <w:vAlign w:val="center"/>
          </w:tcPr>
          <w:p w14:paraId="4E4F3690" w14:textId="77777777" w:rsidR="0077418D" w:rsidRDefault="00D7678D">
            <w:pPr>
              <w:pStyle w:val="Standard"/>
              <w:widowControl w:val="0"/>
              <w:spacing w:after="0"/>
              <w:jc w:val="both"/>
              <w:rPr>
                <w:b/>
                <w:bCs/>
              </w:rPr>
            </w:pPr>
            <w:r>
              <w:t>RIA teavitab teenuse kliente esimesel võimalusel kõigist teadaolevatest teenuse katkestustest ja teenuse kasutamist takistavatest asjaoludest e-posti või telefoni teel.</w:t>
            </w:r>
          </w:p>
        </w:tc>
      </w:tr>
      <w:tr w:rsidR="0077418D" w14:paraId="2A4F7C57" w14:textId="77777777">
        <w:trPr>
          <w:cantSplit/>
          <w:trHeight w:val="20"/>
        </w:trPr>
        <w:tc>
          <w:tcPr>
            <w:tcW w:w="3008" w:type="dxa"/>
            <w:tcBorders>
              <w:top w:val="single" w:sz="4" w:space="0" w:color="000000"/>
              <w:left w:val="single" w:sz="4" w:space="0" w:color="000000"/>
              <w:bottom w:val="single" w:sz="4" w:space="0" w:color="000000"/>
            </w:tcBorders>
            <w:shd w:val="clear" w:color="auto" w:fill="F3F3F3"/>
            <w:vAlign w:val="center"/>
          </w:tcPr>
          <w:p w14:paraId="529F155C" w14:textId="77777777" w:rsidR="0077418D" w:rsidRDefault="00D7678D">
            <w:pPr>
              <w:pStyle w:val="Standard"/>
              <w:widowControl w:val="0"/>
              <w:snapToGrid w:val="0"/>
              <w:spacing w:after="0"/>
              <w:rPr>
                <w:b/>
              </w:rPr>
            </w:pPr>
            <w:r>
              <w:rPr>
                <w:rFonts w:eastAsia="ArialMT"/>
                <w:b/>
                <w:bCs/>
                <w:color w:val="000000"/>
              </w:rPr>
              <w:t>Korralised hooldustööd</w:t>
            </w:r>
          </w:p>
        </w:tc>
        <w:tc>
          <w:tcPr>
            <w:tcW w:w="6738" w:type="dxa"/>
            <w:tcBorders>
              <w:top w:val="single" w:sz="4" w:space="0" w:color="000000"/>
              <w:left w:val="single" w:sz="4" w:space="0" w:color="000000"/>
              <w:bottom w:val="single" w:sz="4" w:space="0" w:color="000000"/>
              <w:right w:val="single" w:sz="4" w:space="0" w:color="000000"/>
            </w:tcBorders>
            <w:vAlign w:val="center"/>
          </w:tcPr>
          <w:p w14:paraId="3C033F9E" w14:textId="77777777" w:rsidR="0077418D" w:rsidRDefault="00D7678D">
            <w:pPr>
              <w:widowControl w:val="0"/>
              <w:tabs>
                <w:tab w:val="left" w:pos="2444"/>
                <w:tab w:val="left" w:pos="2817"/>
              </w:tabs>
              <w:spacing w:before="40" w:after="40" w:line="240" w:lineRule="auto"/>
              <w:ind w:right="113"/>
              <w:jc w:val="both"/>
              <w:textAlignment w:val="baseline"/>
              <w:rPr>
                <w:rFonts w:ascii="Times New Roman" w:hAnsi="Times New Roman" w:cs="Times New Roman"/>
                <w:sz w:val="24"/>
                <w:szCs w:val="24"/>
              </w:rPr>
            </w:pPr>
            <w:r>
              <w:rPr>
                <w:rFonts w:ascii="Times New Roman" w:hAnsi="Times New Roman" w:cs="Times New Roman"/>
                <w:sz w:val="24"/>
                <w:szCs w:val="24"/>
              </w:rPr>
              <w:t>RIA toodangukeskkonna korrapärased infrastruktuuri hooldustööd toimuvad iga kuu kolmandal neljapäeval ajavahemikul 18.00–01.00.</w:t>
            </w:r>
          </w:p>
          <w:p w14:paraId="63AC5807" w14:textId="77777777" w:rsidR="0077418D" w:rsidRDefault="007741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sz w:val="24"/>
                <w:szCs w:val="24"/>
              </w:rPr>
            </w:pPr>
          </w:p>
          <w:p w14:paraId="65B9F742" w14:textId="77777777" w:rsidR="0077418D" w:rsidRDefault="00D7678D">
            <w:pPr>
              <w:widowControl w:val="0"/>
              <w:tabs>
                <w:tab w:val="left" w:pos="2019"/>
                <w:tab w:val="left" w:pos="2160"/>
                <w:tab w:val="left" w:pos="2444"/>
                <w:tab w:val="left" w:pos="2817"/>
              </w:tabs>
              <w:spacing w:before="40" w:after="40" w:line="240" w:lineRule="auto"/>
              <w:ind w:right="113"/>
              <w:jc w:val="both"/>
              <w:textAlignment w:val="baseline"/>
              <w:rPr>
                <w:rFonts w:ascii="Times New Roman" w:hAnsi="Times New Roman" w:cs="Times New Roman"/>
                <w:b/>
                <w:bCs/>
                <w:sz w:val="24"/>
                <w:szCs w:val="24"/>
              </w:rPr>
            </w:pPr>
            <w:r>
              <w:rPr>
                <w:rFonts w:ascii="Times New Roman" w:hAnsi="Times New Roman" w:cs="Times New Roman"/>
                <w:sz w:val="24"/>
                <w:szCs w:val="24"/>
              </w:rPr>
              <w:t>RIA toodangukeskkonna teenuste tööajal toimuvatest katkestustest ning suurematest hooldustöödest teavitatakse teenuse kasutajaid e-posti teel vähemalt 2 tööpäeva enne nende toimumist.</w:t>
            </w:r>
          </w:p>
        </w:tc>
      </w:tr>
      <w:tr w:rsidR="0077418D" w14:paraId="3B639936" w14:textId="77777777">
        <w:trPr>
          <w:cantSplit/>
          <w:trHeight w:val="902"/>
        </w:trPr>
        <w:tc>
          <w:tcPr>
            <w:tcW w:w="3008" w:type="dxa"/>
            <w:tcBorders>
              <w:top w:val="single" w:sz="4" w:space="0" w:color="000000"/>
              <w:left w:val="single" w:sz="4" w:space="0" w:color="000000"/>
              <w:bottom w:val="single" w:sz="4" w:space="0" w:color="000000"/>
            </w:tcBorders>
            <w:shd w:val="clear" w:color="auto" w:fill="F3F3F3"/>
            <w:vAlign w:val="center"/>
          </w:tcPr>
          <w:p w14:paraId="4661D585" w14:textId="77777777" w:rsidR="0077418D" w:rsidRDefault="00D7678D">
            <w:pPr>
              <w:pStyle w:val="Standard"/>
              <w:widowControl w:val="0"/>
              <w:rPr>
                <w:rFonts w:eastAsia="ArialMT"/>
                <w:b/>
                <w:bCs/>
                <w:color w:val="000000"/>
              </w:rPr>
            </w:pPr>
            <w:r>
              <w:rPr>
                <w:b/>
              </w:rPr>
              <w:t xml:space="preserve"> </w:t>
            </w:r>
            <w:r>
              <w:rPr>
                <w:rFonts w:eastAsia="ArialMT"/>
                <w:b/>
                <w:bCs/>
                <w:color w:val="000000"/>
              </w:rPr>
              <w:t xml:space="preserve"> Infosüsteemi logid</w:t>
            </w:r>
          </w:p>
        </w:tc>
        <w:tc>
          <w:tcPr>
            <w:tcW w:w="6738" w:type="dxa"/>
            <w:tcBorders>
              <w:top w:val="single" w:sz="4" w:space="0" w:color="000000"/>
              <w:left w:val="single" w:sz="4" w:space="0" w:color="000000"/>
              <w:bottom w:val="single" w:sz="4" w:space="0" w:color="000000"/>
              <w:right w:val="single" w:sz="4" w:space="0" w:color="000000"/>
            </w:tcBorders>
            <w:vAlign w:val="center"/>
          </w:tcPr>
          <w:p w14:paraId="324926D5" w14:textId="77777777" w:rsidR="0077418D" w:rsidRDefault="00D7678D">
            <w:pPr>
              <w:pStyle w:val="Standard"/>
              <w:widowControl w:val="0"/>
              <w:spacing w:after="0"/>
              <w:rPr>
                <w:b/>
                <w:bCs/>
              </w:rPr>
            </w:pPr>
            <w:r>
              <w:t>Infosüsteemi logisid säilitatakse üks aasta,  välja arvatud monitooringu logisid, mida säilitatakse kolm aastat nende kogumisest arvates, misjärel andmed anonüümitakse.</w:t>
            </w:r>
          </w:p>
        </w:tc>
      </w:tr>
    </w:tbl>
    <w:p w14:paraId="76F992AB" w14:textId="77777777" w:rsidR="0077418D" w:rsidRDefault="00D7678D">
      <w:pPr>
        <w:pStyle w:val="Standard"/>
        <w:numPr>
          <w:ilvl w:val="0"/>
          <w:numId w:val="2"/>
        </w:numPr>
        <w:rPr>
          <w:b/>
          <w:bCs/>
        </w:rPr>
      </w:pPr>
      <w:r>
        <w:rPr>
          <w:b/>
          <w:bCs/>
        </w:rPr>
        <w:t>Teenuse kättesaadavus</w:t>
      </w:r>
    </w:p>
    <w:p w14:paraId="5F7C9318" w14:textId="77777777" w:rsidR="0077418D" w:rsidRDefault="0077418D">
      <w:pPr>
        <w:pStyle w:val="Standard"/>
        <w:rPr>
          <w:b/>
        </w:rPr>
      </w:pPr>
    </w:p>
    <w:tbl>
      <w:tblPr>
        <w:tblW w:w="9640" w:type="dxa"/>
        <w:tblInd w:w="-34" w:type="dxa"/>
        <w:tblLayout w:type="fixed"/>
        <w:tblLook w:val="0000" w:firstRow="0" w:lastRow="0" w:firstColumn="0" w:lastColumn="0" w:noHBand="0" w:noVBand="0"/>
      </w:tblPr>
      <w:tblGrid>
        <w:gridCol w:w="1316"/>
        <w:gridCol w:w="5347"/>
        <w:gridCol w:w="2977"/>
      </w:tblGrid>
      <w:tr w:rsidR="0077418D" w14:paraId="70C419A4" w14:textId="77777777">
        <w:tc>
          <w:tcPr>
            <w:tcW w:w="1316" w:type="dxa"/>
            <w:tcBorders>
              <w:top w:val="single" w:sz="4" w:space="0" w:color="000000"/>
              <w:left w:val="single" w:sz="4" w:space="0" w:color="000000"/>
              <w:bottom w:val="single" w:sz="4" w:space="0" w:color="000000"/>
            </w:tcBorders>
          </w:tcPr>
          <w:p w14:paraId="4923EBFD" w14:textId="77777777"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tcPr>
          <w:p w14:paraId="022134D0"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Tööaeg</w:t>
            </w:r>
          </w:p>
          <w:p w14:paraId="4EF3B241" w14:textId="77777777" w:rsidR="0077418D" w:rsidRDefault="00D7678D">
            <w:pPr>
              <w:widowControl w:val="0"/>
              <w:jc w:val="both"/>
              <w:rPr>
                <w:rFonts w:ascii="Times New Roman" w:hAnsi="Times New Roman" w:cs="Times New Roman"/>
                <w:sz w:val="24"/>
                <w:szCs w:val="24"/>
              </w:rPr>
            </w:pPr>
            <w:r>
              <w:rPr>
                <w:rFonts w:ascii="Times New Roman" w:hAnsi="Times New Roman" w:cs="Times New Roman"/>
                <w:sz w:val="24"/>
                <w:szCs w:val="24"/>
                <w:lang w:eastAsia="et-EE"/>
              </w:rPr>
              <w:t xml:space="preserve">Tööaeg on kokkulepitud ajavahemik, millal IT-teenus peab kliendile garanteeritult kättesaadav olema ning </w:t>
            </w:r>
            <w:r>
              <w:rPr>
                <w:rFonts w:ascii="Times New Roman" w:hAnsi="Times New Roman" w:cs="Times New Roman"/>
                <w:sz w:val="24"/>
                <w:szCs w:val="24"/>
              </w:rPr>
              <w:t>mille jooksul pakutakse IT-teenusele kasutajatoe tuge (kasutusnõustamine, planeerimata katkestuste lahendamine jms).</w:t>
            </w:r>
          </w:p>
        </w:tc>
        <w:tc>
          <w:tcPr>
            <w:tcW w:w="2977" w:type="dxa"/>
            <w:tcBorders>
              <w:top w:val="single" w:sz="4" w:space="0" w:color="000000"/>
              <w:left w:val="single" w:sz="4" w:space="0" w:color="000000"/>
              <w:bottom w:val="single" w:sz="4" w:space="0" w:color="000000"/>
              <w:right w:val="single" w:sz="4" w:space="0" w:color="000000"/>
            </w:tcBorders>
          </w:tcPr>
          <w:p w14:paraId="760A4546"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 xml:space="preserve">E–N 8.15–17.00, </w:t>
            </w:r>
          </w:p>
          <w:p w14:paraId="03108139"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R 8.15–15.45.</w:t>
            </w:r>
          </w:p>
          <w:p w14:paraId="2B3A25AD" w14:textId="77777777" w:rsidR="0077418D" w:rsidRDefault="0077418D">
            <w:pPr>
              <w:widowControl w:val="0"/>
              <w:jc w:val="both"/>
              <w:rPr>
                <w:rFonts w:ascii="Times New Roman" w:hAnsi="Times New Roman" w:cs="Times New Roman"/>
                <w:sz w:val="24"/>
                <w:szCs w:val="24"/>
                <w:lang w:eastAsia="et-EE"/>
              </w:rPr>
            </w:pPr>
          </w:p>
        </w:tc>
      </w:tr>
      <w:tr w:rsidR="0077418D" w14:paraId="038068AC" w14:textId="77777777">
        <w:tc>
          <w:tcPr>
            <w:tcW w:w="1316" w:type="dxa"/>
            <w:tcBorders>
              <w:top w:val="single" w:sz="4" w:space="0" w:color="000000"/>
              <w:left w:val="single" w:sz="4" w:space="0" w:color="000000"/>
              <w:bottom w:val="single" w:sz="4" w:space="0" w:color="000000"/>
            </w:tcBorders>
          </w:tcPr>
          <w:p w14:paraId="2E189779" w14:textId="77777777" w:rsidR="0077418D" w:rsidRDefault="0077418D">
            <w:pPr>
              <w:pStyle w:val="Standard"/>
              <w:widowControl w:val="0"/>
              <w:numPr>
                <w:ilvl w:val="1"/>
                <w:numId w:val="2"/>
              </w:numPr>
              <w:tabs>
                <w:tab w:val="center" w:pos="4320"/>
                <w:tab w:val="right" w:pos="8640"/>
              </w:tabs>
              <w:snapToGrid w:val="0"/>
            </w:pPr>
          </w:p>
        </w:tc>
        <w:tc>
          <w:tcPr>
            <w:tcW w:w="5347" w:type="dxa"/>
            <w:tcBorders>
              <w:top w:val="single" w:sz="4" w:space="0" w:color="000000"/>
              <w:left w:val="single" w:sz="4" w:space="0" w:color="000000"/>
              <w:bottom w:val="single" w:sz="4" w:space="0" w:color="000000"/>
            </w:tcBorders>
          </w:tcPr>
          <w:p w14:paraId="0077D035"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lubatud üheaegne pöördumiste arv</w:t>
            </w:r>
          </w:p>
        </w:tc>
        <w:tc>
          <w:tcPr>
            <w:tcW w:w="2977" w:type="dxa"/>
            <w:tcBorders>
              <w:top w:val="single" w:sz="4" w:space="0" w:color="000000"/>
              <w:left w:val="single" w:sz="4" w:space="0" w:color="000000"/>
              <w:bottom w:val="single" w:sz="4" w:space="0" w:color="000000"/>
              <w:right w:val="single" w:sz="4" w:space="0" w:color="000000"/>
            </w:tcBorders>
          </w:tcPr>
          <w:p w14:paraId="0F7B2D2A" w14:textId="77777777" w:rsidR="0077418D" w:rsidRDefault="00D7678D">
            <w:pPr>
              <w:widowControl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50 globaalse konfiguratsiooni päringut minutis</w:t>
            </w:r>
          </w:p>
        </w:tc>
      </w:tr>
    </w:tbl>
    <w:p w14:paraId="703C473D" w14:textId="77777777" w:rsidR="0077418D" w:rsidRDefault="00D7678D">
      <w:pPr>
        <w:rPr>
          <w:rFonts w:ascii="Times New Roman" w:eastAsia="Times New Roman" w:hAnsi="Times New Roman" w:cs="Times New Roman"/>
          <w:b/>
          <w:kern w:val="2"/>
          <w:sz w:val="24"/>
          <w:szCs w:val="24"/>
          <w:lang w:eastAsia="zh-CN"/>
        </w:rPr>
      </w:pPr>
      <w:r>
        <w:br w:type="page"/>
      </w:r>
    </w:p>
    <w:p w14:paraId="5385F2EC" w14:textId="77777777" w:rsidR="0077418D" w:rsidRDefault="00D7678D">
      <w:pPr>
        <w:pStyle w:val="Standard"/>
        <w:numPr>
          <w:ilvl w:val="0"/>
          <w:numId w:val="2"/>
        </w:numPr>
        <w:rPr>
          <w:b/>
        </w:rPr>
      </w:pPr>
      <w:r>
        <w:rPr>
          <w:b/>
        </w:rPr>
        <w:lastRenderedPageBreak/>
        <w:t>Planeerimata katkestus tavaolukorras</w:t>
      </w:r>
    </w:p>
    <w:p w14:paraId="54C51E47" w14:textId="77777777" w:rsidR="0077418D" w:rsidRDefault="00D7678D">
      <w:pPr>
        <w:pStyle w:val="Standard"/>
        <w:jc w:val="both"/>
        <w:rPr>
          <w:b/>
        </w:rPr>
      </w:pPr>
      <w:r>
        <w:rPr>
          <w:lang w:eastAsia="et-EE"/>
        </w:rPr>
        <w:t>Planeerimata katkestuste hulka arvestatakse ainult teenuse tööajal aset leidvad planeerimata katkestused. Planeerimata katkestuseks ei loeta olukorda, kus häiritud on üksikute kasutajate töö, kuid asutuses (sama hoone piires) on teenus kättesaadav.</w:t>
      </w:r>
      <w:r>
        <w:t xml:space="preserve"> Planeerimata katkestusi tavaolukorras arvestatakse töötundides. </w:t>
      </w:r>
    </w:p>
    <w:tbl>
      <w:tblPr>
        <w:tblW w:w="9640" w:type="dxa"/>
        <w:tblInd w:w="-34" w:type="dxa"/>
        <w:tblLayout w:type="fixed"/>
        <w:tblLook w:val="0000" w:firstRow="0" w:lastRow="0" w:firstColumn="0" w:lastColumn="0" w:noHBand="0" w:noVBand="0"/>
      </w:tblPr>
      <w:tblGrid>
        <w:gridCol w:w="1283"/>
        <w:gridCol w:w="5111"/>
        <w:gridCol w:w="3246"/>
      </w:tblGrid>
      <w:tr w:rsidR="0077418D" w14:paraId="4FDA7E49" w14:textId="77777777">
        <w:tc>
          <w:tcPr>
            <w:tcW w:w="1283" w:type="dxa"/>
            <w:tcBorders>
              <w:top w:val="single" w:sz="4" w:space="0" w:color="000000"/>
              <w:left w:val="single" w:sz="4" w:space="0" w:color="000000"/>
              <w:bottom w:val="single" w:sz="4" w:space="0" w:color="000000"/>
            </w:tcBorders>
          </w:tcPr>
          <w:p w14:paraId="29275BC4"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65F83D1A" w14:textId="77777777"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Ühe planeerimata katkestuse maksimaalne kestus</w:t>
            </w:r>
          </w:p>
          <w:p w14:paraId="7F4CF28C" w14:textId="77777777"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lang w:eastAsia="et-EE"/>
              </w:rPr>
              <w:t>Maksimaalne lubatud ajavahemik, mille jooksul on vaja teenuse töö taastada. Teenuse taastamine toimub tööajal.</w:t>
            </w:r>
          </w:p>
        </w:tc>
        <w:tc>
          <w:tcPr>
            <w:tcW w:w="3246" w:type="dxa"/>
            <w:tcBorders>
              <w:top w:val="single" w:sz="4" w:space="0" w:color="000000"/>
              <w:left w:val="single" w:sz="4" w:space="0" w:color="000000"/>
              <w:bottom w:val="single" w:sz="4" w:space="0" w:color="000000"/>
              <w:right w:val="single" w:sz="4" w:space="0" w:color="000000"/>
            </w:tcBorders>
          </w:tcPr>
          <w:p w14:paraId="4601D879"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12 h</w:t>
            </w:r>
          </w:p>
        </w:tc>
      </w:tr>
      <w:tr w:rsidR="0077418D" w14:paraId="55B9B3E7" w14:textId="77777777">
        <w:tc>
          <w:tcPr>
            <w:tcW w:w="1283" w:type="dxa"/>
            <w:tcBorders>
              <w:top w:val="single" w:sz="4" w:space="0" w:color="000000"/>
              <w:left w:val="single" w:sz="4" w:space="0" w:color="000000"/>
              <w:bottom w:val="single" w:sz="4" w:space="0" w:color="000000"/>
            </w:tcBorders>
          </w:tcPr>
          <w:p w14:paraId="0C2B98AE"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7F8CFCBC" w14:textId="77777777" w:rsidR="0077418D" w:rsidRDefault="00D7678D">
            <w:pPr>
              <w:pStyle w:val="Header"/>
              <w:widowControl w:val="0"/>
              <w:snapToGrid w:val="0"/>
              <w:rPr>
                <w:rFonts w:ascii="Times New Roman" w:hAnsi="Times New Roman" w:cs="Times New Roman"/>
                <w:sz w:val="24"/>
                <w:szCs w:val="24"/>
              </w:rPr>
            </w:pPr>
            <w:r>
              <w:rPr>
                <w:rFonts w:ascii="Times New Roman" w:hAnsi="Times New Roman" w:cs="Times New Roman"/>
                <w:sz w:val="24"/>
                <w:szCs w:val="24"/>
              </w:rPr>
              <w:t>Maksimaalne planeerimata katkestuste kestus aastas</w:t>
            </w:r>
          </w:p>
        </w:tc>
        <w:tc>
          <w:tcPr>
            <w:tcW w:w="3246" w:type="dxa"/>
            <w:tcBorders>
              <w:top w:val="single" w:sz="4" w:space="0" w:color="000000"/>
              <w:left w:val="single" w:sz="4" w:space="0" w:color="000000"/>
              <w:bottom w:val="single" w:sz="4" w:space="0" w:color="000000"/>
              <w:right w:val="single" w:sz="4" w:space="0" w:color="000000"/>
            </w:tcBorders>
          </w:tcPr>
          <w:p w14:paraId="5EC8BAF8"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24 h</w:t>
            </w:r>
          </w:p>
        </w:tc>
      </w:tr>
    </w:tbl>
    <w:p w14:paraId="50378FC4" w14:textId="77777777" w:rsidR="0077418D" w:rsidRDefault="0077418D">
      <w:pPr>
        <w:pStyle w:val="Header"/>
        <w:ind w:left="360"/>
        <w:rPr>
          <w:rFonts w:ascii="Times New Roman" w:hAnsi="Times New Roman" w:cs="Times New Roman"/>
          <w:b/>
          <w:sz w:val="24"/>
          <w:szCs w:val="24"/>
        </w:rPr>
      </w:pPr>
    </w:p>
    <w:p w14:paraId="7E932CCA" w14:textId="77777777" w:rsidR="0077418D" w:rsidRDefault="00D7678D">
      <w:pPr>
        <w:pStyle w:val="Standard"/>
        <w:numPr>
          <w:ilvl w:val="0"/>
          <w:numId w:val="2"/>
        </w:numPr>
        <w:rPr>
          <w:b/>
        </w:rPr>
      </w:pPr>
      <w:r>
        <w:rPr>
          <w:b/>
        </w:rPr>
        <w:t>Planeerimata katkestus katastroofiolukorras</w:t>
      </w:r>
    </w:p>
    <w:p w14:paraId="6F2A325F" w14:textId="77777777" w:rsidR="0077418D" w:rsidRDefault="00D7678D">
      <w:pPr>
        <w:pStyle w:val="Standard"/>
        <w:rPr>
          <w:b/>
        </w:rPr>
      </w:pPr>
      <w:r>
        <w:rPr>
          <w:bCs/>
          <w:lang w:eastAsia="et-EE"/>
        </w:rPr>
        <w:t xml:space="preserve">Kriitilisuse klass on teenuse taastamise maksimaalne </w:t>
      </w:r>
      <w:r>
        <w:t>ajakulu ning prioriteet, mis järjekorras katastroofiolukorras (näiteks serveriruumide vee- või tulekahjustuste või muu ootamatu eriolukorra puhul) teenuseid taastatakse. Lähtuvalt taasteaegadest, jaotatakse infosüsteemi osad järgnevatesse kriitilisuse klassidesse:</w:t>
      </w:r>
      <w:r>
        <w:br/>
        <w:t xml:space="preserve">I – taasteaeg 72 h; </w:t>
      </w:r>
      <w:r>
        <w:br/>
        <w:t>II – taasteaeg 168 h;</w:t>
      </w:r>
      <w:r>
        <w:br/>
        <w:t>III – taasteaeg määratlemata.</w:t>
      </w:r>
    </w:p>
    <w:p w14:paraId="40DB636B" w14:textId="77777777" w:rsidR="0077418D" w:rsidRDefault="0077418D">
      <w:pPr>
        <w:pStyle w:val="Header"/>
        <w:ind w:left="360"/>
        <w:rPr>
          <w:rFonts w:ascii="Times New Roman" w:hAnsi="Times New Roman" w:cs="Times New Roman"/>
          <w:b/>
          <w:sz w:val="24"/>
          <w:szCs w:val="24"/>
        </w:rPr>
      </w:pPr>
    </w:p>
    <w:tbl>
      <w:tblPr>
        <w:tblW w:w="9640" w:type="dxa"/>
        <w:tblInd w:w="-34" w:type="dxa"/>
        <w:tblLayout w:type="fixed"/>
        <w:tblLook w:val="0000" w:firstRow="0" w:lastRow="0" w:firstColumn="0" w:lastColumn="0" w:noHBand="0" w:noVBand="0"/>
      </w:tblPr>
      <w:tblGrid>
        <w:gridCol w:w="1283"/>
        <w:gridCol w:w="5111"/>
        <w:gridCol w:w="3246"/>
      </w:tblGrid>
      <w:tr w:rsidR="0077418D" w14:paraId="645AA7C7" w14:textId="77777777">
        <w:tc>
          <w:tcPr>
            <w:tcW w:w="1283" w:type="dxa"/>
            <w:tcBorders>
              <w:top w:val="single" w:sz="4" w:space="0" w:color="000000"/>
              <w:left w:val="single" w:sz="4" w:space="0" w:color="000000"/>
              <w:bottom w:val="single" w:sz="4" w:space="0" w:color="000000"/>
            </w:tcBorders>
          </w:tcPr>
          <w:p w14:paraId="3B81D1EB" w14:textId="77777777" w:rsidR="0077418D" w:rsidRDefault="0077418D">
            <w:pPr>
              <w:pStyle w:val="Standard"/>
              <w:widowControl w:val="0"/>
              <w:numPr>
                <w:ilvl w:val="1"/>
                <w:numId w:val="2"/>
              </w:numPr>
              <w:tabs>
                <w:tab w:val="center" w:pos="4320"/>
                <w:tab w:val="right" w:pos="8640"/>
              </w:tabs>
              <w:snapToGrid w:val="0"/>
            </w:pPr>
          </w:p>
        </w:tc>
        <w:tc>
          <w:tcPr>
            <w:tcW w:w="5111" w:type="dxa"/>
            <w:tcBorders>
              <w:top w:val="single" w:sz="4" w:space="0" w:color="000000"/>
              <w:left w:val="single" w:sz="4" w:space="0" w:color="000000"/>
              <w:bottom w:val="single" w:sz="4" w:space="0" w:color="000000"/>
            </w:tcBorders>
          </w:tcPr>
          <w:p w14:paraId="7E5EFA3C" w14:textId="77777777" w:rsidR="0077418D" w:rsidRDefault="00D7678D">
            <w:pPr>
              <w:pStyle w:val="Header"/>
              <w:widowControl w:val="0"/>
              <w:snapToGrid w:val="0"/>
              <w:rPr>
                <w:rFonts w:ascii="Times New Roman" w:hAnsi="Times New Roman" w:cs="Times New Roman"/>
                <w:b/>
                <w:sz w:val="24"/>
                <w:szCs w:val="24"/>
              </w:rPr>
            </w:pPr>
            <w:r>
              <w:rPr>
                <w:rFonts w:ascii="Times New Roman" w:hAnsi="Times New Roman" w:cs="Times New Roman"/>
                <w:b/>
                <w:sz w:val="24"/>
                <w:szCs w:val="24"/>
              </w:rPr>
              <w:t>Kriitilisuse klass</w:t>
            </w:r>
          </w:p>
          <w:p w14:paraId="1CB2D625" w14:textId="77777777" w:rsidR="0077418D" w:rsidRDefault="0077418D">
            <w:pPr>
              <w:pStyle w:val="Header"/>
              <w:widowControl w:val="0"/>
              <w:snapToGrid w:val="0"/>
              <w:rPr>
                <w:rFonts w:ascii="Times New Roman" w:hAnsi="Times New Roman" w:cs="Times New Roman"/>
                <w:b/>
                <w:sz w:val="24"/>
                <w:szCs w:val="24"/>
              </w:rPr>
            </w:pPr>
          </w:p>
        </w:tc>
        <w:tc>
          <w:tcPr>
            <w:tcW w:w="3246" w:type="dxa"/>
            <w:tcBorders>
              <w:top w:val="single" w:sz="4" w:space="0" w:color="000000"/>
              <w:left w:val="single" w:sz="4" w:space="0" w:color="000000"/>
              <w:bottom w:val="single" w:sz="4" w:space="0" w:color="000000"/>
              <w:right w:val="single" w:sz="4" w:space="0" w:color="000000"/>
            </w:tcBorders>
          </w:tcPr>
          <w:p w14:paraId="13CE1725" w14:textId="77777777" w:rsidR="0077418D" w:rsidRDefault="00D7678D">
            <w:pPr>
              <w:pStyle w:val="Header"/>
              <w:widowControl w:val="0"/>
              <w:snapToGrid w:val="0"/>
              <w:jc w:val="center"/>
              <w:rPr>
                <w:rFonts w:ascii="Times New Roman" w:hAnsi="Times New Roman" w:cs="Times New Roman"/>
                <w:sz w:val="24"/>
                <w:szCs w:val="24"/>
              </w:rPr>
            </w:pPr>
            <w:r>
              <w:rPr>
                <w:rFonts w:ascii="Times New Roman" w:hAnsi="Times New Roman" w:cs="Times New Roman"/>
                <w:sz w:val="24"/>
                <w:szCs w:val="24"/>
              </w:rPr>
              <w:t>I</w:t>
            </w:r>
          </w:p>
        </w:tc>
      </w:tr>
    </w:tbl>
    <w:p w14:paraId="04E3661F" w14:textId="77777777" w:rsidR="0077418D" w:rsidRDefault="0077418D">
      <w:pPr>
        <w:pStyle w:val="Header"/>
        <w:ind w:left="360"/>
        <w:rPr>
          <w:rFonts w:ascii="Times New Roman" w:hAnsi="Times New Roman" w:cs="Times New Roman"/>
          <w:b/>
          <w:sz w:val="24"/>
          <w:szCs w:val="24"/>
        </w:rPr>
      </w:pPr>
    </w:p>
    <w:p w14:paraId="22D16B29" w14:textId="77777777" w:rsidR="0077418D" w:rsidRDefault="0077418D">
      <w:pPr>
        <w:pStyle w:val="Header"/>
        <w:ind w:left="360"/>
        <w:rPr>
          <w:rFonts w:ascii="Times New Roman" w:hAnsi="Times New Roman" w:cs="Times New Roman"/>
          <w:b/>
          <w:sz w:val="24"/>
          <w:szCs w:val="24"/>
        </w:rPr>
      </w:pPr>
    </w:p>
    <w:p w14:paraId="5708CAB3" w14:textId="77777777" w:rsidR="0077418D" w:rsidRDefault="00D7678D">
      <w:pPr>
        <w:pStyle w:val="Standard"/>
        <w:numPr>
          <w:ilvl w:val="0"/>
          <w:numId w:val="2"/>
        </w:numPr>
        <w:rPr>
          <w:b/>
        </w:rPr>
      </w:pPr>
      <w:r>
        <w:rPr>
          <w:b/>
        </w:rPr>
        <w:t>Planeeritud katkestus</w:t>
      </w:r>
    </w:p>
    <w:p w14:paraId="075527D2" w14:textId="77777777" w:rsidR="0077418D" w:rsidRDefault="00D7678D">
      <w:pPr>
        <w:pStyle w:val="Standard"/>
        <w:jc w:val="both"/>
        <w:rPr>
          <w:b/>
        </w:rPr>
      </w:pPr>
      <w:r>
        <w:rPr>
          <w:lang w:eastAsia="et-EE"/>
        </w:rPr>
        <w:t>Planeeritud katkestus on eelnevalt kokkulepitud ajavahemik, mille jooksul teenus ei ole kättesaadav. Planeeritud katkestuste hulka arvestatakse  ainult teenuse tööajal toimuvaid planeeritud katkestusi. Planeeritud katkestust kasutatakse hoolduseks, testimiseks ja täienduste tegemiseks.</w:t>
      </w:r>
      <w:r>
        <w:t xml:space="preserve"> Planeeritud katkestusi (v.a. katkestustest etteteatamise aega) arvestatakse töötundides.</w:t>
      </w:r>
    </w:p>
    <w:tbl>
      <w:tblPr>
        <w:tblW w:w="9640" w:type="dxa"/>
        <w:tblInd w:w="-34" w:type="dxa"/>
        <w:tblLayout w:type="fixed"/>
        <w:tblLook w:val="0000" w:firstRow="0" w:lastRow="0" w:firstColumn="0" w:lastColumn="0" w:noHBand="0" w:noVBand="0"/>
      </w:tblPr>
      <w:tblGrid>
        <w:gridCol w:w="1446"/>
        <w:gridCol w:w="4961"/>
        <w:gridCol w:w="3233"/>
      </w:tblGrid>
      <w:tr w:rsidR="0077418D" w14:paraId="0FB8E9D2" w14:textId="77777777">
        <w:tc>
          <w:tcPr>
            <w:tcW w:w="1446" w:type="dxa"/>
            <w:tcBorders>
              <w:top w:val="single" w:sz="4" w:space="0" w:color="000000"/>
              <w:left w:val="single" w:sz="4" w:space="0" w:color="000000"/>
              <w:bottom w:val="single" w:sz="4" w:space="0" w:color="000000"/>
            </w:tcBorders>
          </w:tcPr>
          <w:p w14:paraId="68E56141"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42D0DCC5"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Planeeritud katkestusest etteteatamise aeg</w:t>
            </w:r>
          </w:p>
        </w:tc>
        <w:tc>
          <w:tcPr>
            <w:tcW w:w="3233" w:type="dxa"/>
            <w:tcBorders>
              <w:top w:val="single" w:sz="4" w:space="0" w:color="000000"/>
              <w:left w:val="single" w:sz="4" w:space="0" w:color="000000"/>
              <w:bottom w:val="single" w:sz="4" w:space="0" w:color="000000"/>
              <w:right w:val="single" w:sz="4" w:space="0" w:color="000000"/>
            </w:tcBorders>
          </w:tcPr>
          <w:p w14:paraId="61B24975"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48 h</w:t>
            </w:r>
          </w:p>
        </w:tc>
      </w:tr>
      <w:tr w:rsidR="0077418D" w14:paraId="0D1958B9" w14:textId="77777777">
        <w:tc>
          <w:tcPr>
            <w:tcW w:w="1446" w:type="dxa"/>
            <w:tcBorders>
              <w:top w:val="single" w:sz="4" w:space="0" w:color="000000"/>
              <w:left w:val="single" w:sz="4" w:space="0" w:color="000000"/>
              <w:bottom w:val="single" w:sz="4" w:space="0" w:color="000000"/>
            </w:tcBorders>
          </w:tcPr>
          <w:p w14:paraId="43EEC85F"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3A89CF5C"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Ühe planeeritud katkestuse maksimaalne kestus</w:t>
            </w:r>
          </w:p>
        </w:tc>
        <w:tc>
          <w:tcPr>
            <w:tcW w:w="3233" w:type="dxa"/>
            <w:tcBorders>
              <w:top w:val="single" w:sz="4" w:space="0" w:color="000000"/>
              <w:left w:val="single" w:sz="4" w:space="0" w:color="000000"/>
              <w:bottom w:val="single" w:sz="4" w:space="0" w:color="000000"/>
              <w:right w:val="single" w:sz="4" w:space="0" w:color="000000"/>
            </w:tcBorders>
          </w:tcPr>
          <w:p w14:paraId="53E4D702"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8 h</w:t>
            </w:r>
          </w:p>
        </w:tc>
      </w:tr>
      <w:tr w:rsidR="0077418D" w14:paraId="0E18221A" w14:textId="77777777">
        <w:tc>
          <w:tcPr>
            <w:tcW w:w="1446" w:type="dxa"/>
            <w:tcBorders>
              <w:top w:val="single" w:sz="4" w:space="0" w:color="000000"/>
              <w:left w:val="single" w:sz="4" w:space="0" w:color="000000"/>
              <w:bottom w:val="single" w:sz="4" w:space="0" w:color="000000"/>
            </w:tcBorders>
          </w:tcPr>
          <w:p w14:paraId="206D6163"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1F3DE4F0"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kestus aastas</w:t>
            </w:r>
          </w:p>
        </w:tc>
        <w:tc>
          <w:tcPr>
            <w:tcW w:w="3233" w:type="dxa"/>
            <w:tcBorders>
              <w:top w:val="single" w:sz="4" w:space="0" w:color="000000"/>
              <w:left w:val="single" w:sz="4" w:space="0" w:color="000000"/>
              <w:bottom w:val="single" w:sz="4" w:space="0" w:color="000000"/>
              <w:right w:val="single" w:sz="4" w:space="0" w:color="000000"/>
            </w:tcBorders>
          </w:tcPr>
          <w:p w14:paraId="24849A17"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24 h</w:t>
            </w:r>
          </w:p>
        </w:tc>
      </w:tr>
      <w:tr w:rsidR="0077418D" w14:paraId="3CC9B825" w14:textId="77777777">
        <w:tc>
          <w:tcPr>
            <w:tcW w:w="1446" w:type="dxa"/>
            <w:tcBorders>
              <w:top w:val="single" w:sz="4" w:space="0" w:color="000000"/>
              <w:left w:val="single" w:sz="4" w:space="0" w:color="000000"/>
              <w:bottom w:val="single" w:sz="4" w:space="0" w:color="000000"/>
            </w:tcBorders>
          </w:tcPr>
          <w:p w14:paraId="4EE0E655"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24F12F23"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Maksimaalne planeeritud katkestuste arv kuus</w:t>
            </w:r>
          </w:p>
        </w:tc>
        <w:tc>
          <w:tcPr>
            <w:tcW w:w="3233" w:type="dxa"/>
            <w:tcBorders>
              <w:top w:val="single" w:sz="4" w:space="0" w:color="000000"/>
              <w:left w:val="single" w:sz="4" w:space="0" w:color="000000"/>
              <w:bottom w:val="single" w:sz="4" w:space="0" w:color="000000"/>
              <w:right w:val="single" w:sz="4" w:space="0" w:color="000000"/>
            </w:tcBorders>
          </w:tcPr>
          <w:p w14:paraId="53AA068A"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sz w:val="24"/>
                <w:szCs w:val="24"/>
              </w:rPr>
              <w:t>2</w:t>
            </w:r>
          </w:p>
        </w:tc>
      </w:tr>
    </w:tbl>
    <w:p w14:paraId="21AA3F61" w14:textId="77777777" w:rsidR="0077418D" w:rsidRDefault="0077418D">
      <w:pPr>
        <w:pStyle w:val="Standard"/>
        <w:rPr>
          <w:b/>
        </w:rPr>
      </w:pPr>
    </w:p>
    <w:p w14:paraId="1B4E4136" w14:textId="77777777" w:rsidR="0077418D" w:rsidRDefault="00D7678D">
      <w:pPr>
        <w:pStyle w:val="Standard"/>
        <w:numPr>
          <w:ilvl w:val="0"/>
          <w:numId w:val="2"/>
        </w:numPr>
        <w:rPr>
          <w:b/>
        </w:rPr>
      </w:pPr>
      <w:r>
        <w:rPr>
          <w:b/>
        </w:rPr>
        <w:t>Andmekadu ja varundus</w:t>
      </w:r>
    </w:p>
    <w:tbl>
      <w:tblPr>
        <w:tblW w:w="9640" w:type="dxa"/>
        <w:tblInd w:w="-34" w:type="dxa"/>
        <w:tblLayout w:type="fixed"/>
        <w:tblLook w:val="0000" w:firstRow="0" w:lastRow="0" w:firstColumn="0" w:lastColumn="0" w:noHBand="0" w:noVBand="0"/>
      </w:tblPr>
      <w:tblGrid>
        <w:gridCol w:w="1446"/>
        <w:gridCol w:w="4961"/>
        <w:gridCol w:w="3233"/>
      </w:tblGrid>
      <w:tr w:rsidR="0077418D" w14:paraId="73EA8899" w14:textId="77777777">
        <w:tc>
          <w:tcPr>
            <w:tcW w:w="1446" w:type="dxa"/>
            <w:tcBorders>
              <w:top w:val="single" w:sz="4" w:space="0" w:color="000000"/>
              <w:left w:val="single" w:sz="4" w:space="0" w:color="000000"/>
              <w:bottom w:val="single" w:sz="4" w:space="0" w:color="000000"/>
            </w:tcBorders>
          </w:tcPr>
          <w:p w14:paraId="24286758" w14:textId="77777777" w:rsidR="0077418D" w:rsidRDefault="0077418D">
            <w:pPr>
              <w:pStyle w:val="Standard"/>
              <w:widowControl w:val="0"/>
              <w:numPr>
                <w:ilvl w:val="1"/>
                <w:numId w:val="2"/>
              </w:numPr>
              <w:tabs>
                <w:tab w:val="center" w:pos="4320"/>
                <w:tab w:val="right" w:pos="8640"/>
              </w:tabs>
              <w:snapToGrid w:val="0"/>
            </w:pPr>
          </w:p>
        </w:tc>
        <w:tc>
          <w:tcPr>
            <w:tcW w:w="4961" w:type="dxa"/>
            <w:tcBorders>
              <w:top w:val="single" w:sz="4" w:space="0" w:color="000000"/>
              <w:left w:val="single" w:sz="4" w:space="0" w:color="000000"/>
              <w:bottom w:val="single" w:sz="4" w:space="0" w:color="000000"/>
            </w:tcBorders>
          </w:tcPr>
          <w:p w14:paraId="3D1173AF"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Maksimaalne andmehulk, mis võib minna kaotsi teenuse taastamise käigus ehk teenuse taastamiskoha klass</w:t>
            </w:r>
          </w:p>
          <w:p w14:paraId="618FDCCF"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bCs/>
                <w:sz w:val="24"/>
                <w:szCs w:val="24"/>
                <w:lang w:eastAsia="et-EE"/>
              </w:rPr>
              <w:t>Teenuse taastamiskoha klass</w:t>
            </w:r>
            <w:r>
              <w:rPr>
                <w:rFonts w:ascii="Times New Roman" w:hAnsi="Times New Roman" w:cs="Times New Roman"/>
                <w:color w:val="000000"/>
                <w:sz w:val="24"/>
                <w:szCs w:val="24"/>
                <w:lang w:eastAsia="et-EE"/>
              </w:rPr>
              <w:t xml:space="preserve"> määrab maksimaalse andmehulga, mis võib minna kaotsi teenuse taastamise käigus. Taastamiskoha klass määratakse ajavahemikuna enne tõrget. Näiteks taastamiskoha klass üks ööpäev saavutatakse </w:t>
            </w:r>
            <w:r>
              <w:rPr>
                <w:rFonts w:ascii="Times New Roman" w:hAnsi="Times New Roman" w:cs="Times New Roman"/>
                <w:color w:val="000000"/>
                <w:sz w:val="24"/>
                <w:szCs w:val="24"/>
                <w:lang w:eastAsia="et-EE"/>
              </w:rPr>
              <w:lastRenderedPageBreak/>
              <w:t>igapäevase varundamisega, kus maksimaalne andmekadu võib olla 24 tunni andmed.</w:t>
            </w:r>
          </w:p>
        </w:tc>
        <w:tc>
          <w:tcPr>
            <w:tcW w:w="3233" w:type="dxa"/>
            <w:tcBorders>
              <w:top w:val="single" w:sz="4" w:space="0" w:color="000000"/>
              <w:left w:val="single" w:sz="4" w:space="0" w:color="000000"/>
              <w:bottom w:val="single" w:sz="4" w:space="0" w:color="000000"/>
              <w:right w:val="single" w:sz="4" w:space="0" w:color="000000"/>
            </w:tcBorders>
          </w:tcPr>
          <w:p w14:paraId="6716E20A" w14:textId="77777777" w:rsidR="0077418D" w:rsidRDefault="00D7678D">
            <w:pPr>
              <w:pStyle w:val="Header"/>
              <w:widowControl w:val="0"/>
              <w:tabs>
                <w:tab w:val="clear" w:pos="4536"/>
                <w:tab w:val="clear" w:pos="9072"/>
                <w:tab w:val="center" w:pos="4320"/>
                <w:tab w:val="left" w:pos="7740"/>
              </w:tabs>
              <w:snapToGrid w:val="0"/>
              <w:jc w:val="center"/>
              <w:rPr>
                <w:rFonts w:ascii="Times New Roman" w:hAnsi="Times New Roman" w:cs="Times New Roman"/>
                <w:sz w:val="24"/>
                <w:szCs w:val="24"/>
              </w:rPr>
            </w:pPr>
            <w:r>
              <w:rPr>
                <w:rFonts w:ascii="Times New Roman" w:hAnsi="Times New Roman" w:cs="Times New Roman"/>
                <w:color w:val="000000"/>
                <w:sz w:val="24"/>
                <w:szCs w:val="24"/>
                <w:lang w:eastAsia="et-EE"/>
              </w:rPr>
              <w:lastRenderedPageBreak/>
              <w:t>24 h</w:t>
            </w:r>
          </w:p>
        </w:tc>
      </w:tr>
    </w:tbl>
    <w:p w14:paraId="0787562A"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p w14:paraId="6E01310B" w14:textId="77777777" w:rsidR="0077418D" w:rsidRDefault="00D7678D">
      <w:pPr>
        <w:pStyle w:val="Standard"/>
        <w:numPr>
          <w:ilvl w:val="0"/>
          <w:numId w:val="2"/>
        </w:numPr>
        <w:rPr>
          <w:b/>
        </w:rPr>
      </w:pPr>
      <w:r>
        <w:rPr>
          <w:b/>
        </w:rPr>
        <w:t>Reaktsiooniajad</w:t>
      </w:r>
    </w:p>
    <w:p w14:paraId="3EC35E25"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tbl>
      <w:tblPr>
        <w:tblW w:w="9654" w:type="dxa"/>
        <w:tblInd w:w="-34" w:type="dxa"/>
        <w:tblLayout w:type="fixed"/>
        <w:tblLook w:val="0000" w:firstRow="0" w:lastRow="0" w:firstColumn="0" w:lastColumn="0" w:noHBand="0" w:noVBand="0"/>
      </w:tblPr>
      <w:tblGrid>
        <w:gridCol w:w="922"/>
        <w:gridCol w:w="2935"/>
        <w:gridCol w:w="2898"/>
        <w:gridCol w:w="2899"/>
      </w:tblGrid>
      <w:tr w:rsidR="0077418D" w14:paraId="48519E82" w14:textId="77777777">
        <w:trPr>
          <w:trHeight w:val="257"/>
        </w:trPr>
        <w:tc>
          <w:tcPr>
            <w:tcW w:w="921" w:type="dxa"/>
            <w:tcBorders>
              <w:top w:val="single" w:sz="4" w:space="0" w:color="000000"/>
              <w:left w:val="single" w:sz="4" w:space="0" w:color="000000"/>
              <w:bottom w:val="single" w:sz="4" w:space="0" w:color="000000"/>
            </w:tcBorders>
          </w:tcPr>
          <w:p w14:paraId="67FF818A" w14:textId="77777777"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tcPr>
          <w:p w14:paraId="50196BA4"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b/>
                <w:sz w:val="24"/>
                <w:szCs w:val="24"/>
              </w:rPr>
            </w:pPr>
            <w:r>
              <w:rPr>
                <w:rFonts w:ascii="Times New Roman" w:hAnsi="Times New Roman" w:cs="Times New Roman"/>
                <w:b/>
                <w:sz w:val="24"/>
                <w:szCs w:val="24"/>
              </w:rPr>
              <w:t>Funktsionaalsus</w:t>
            </w:r>
          </w:p>
        </w:tc>
        <w:tc>
          <w:tcPr>
            <w:tcW w:w="2898" w:type="dxa"/>
            <w:tcBorders>
              <w:top w:val="single" w:sz="4" w:space="0" w:color="000000"/>
              <w:left w:val="single" w:sz="4" w:space="0" w:color="000000"/>
              <w:bottom w:val="single" w:sz="4" w:space="0" w:color="000000"/>
            </w:tcBorders>
            <w:tcMar>
              <w:left w:w="10" w:type="dxa"/>
              <w:right w:w="10" w:type="dxa"/>
            </w:tcMar>
          </w:tcPr>
          <w:p w14:paraId="7A434A9E" w14:textId="77777777" w:rsidR="0077418D" w:rsidRDefault="00D7678D">
            <w:pPr>
              <w:pStyle w:val="NormalWeb"/>
              <w:widowControl w:val="0"/>
              <w:spacing w:beforeAutospacing="0" w:after="0" w:afterAutospacing="0"/>
              <w:jc w:val="center"/>
              <w:rPr>
                <w:b/>
              </w:rPr>
            </w:pPr>
            <w:r>
              <w:rPr>
                <w:b/>
              </w:rPr>
              <w:t>Normaalne viide</w:t>
            </w:r>
          </w:p>
        </w:tc>
        <w:tc>
          <w:tcPr>
            <w:tcW w:w="2899" w:type="dxa"/>
            <w:tcBorders>
              <w:top w:val="single" w:sz="4" w:space="0" w:color="000000"/>
              <w:left w:val="single" w:sz="4" w:space="0" w:color="000000"/>
              <w:bottom w:val="single" w:sz="4" w:space="0" w:color="000000"/>
              <w:right w:val="single" w:sz="4" w:space="0" w:color="000000"/>
            </w:tcBorders>
          </w:tcPr>
          <w:p w14:paraId="029279A7" w14:textId="77777777" w:rsidR="0077418D" w:rsidRDefault="00D7678D">
            <w:pPr>
              <w:pStyle w:val="NormalWeb"/>
              <w:widowControl w:val="0"/>
              <w:spacing w:beforeAutospacing="0" w:after="0" w:afterAutospacing="0"/>
              <w:jc w:val="center"/>
              <w:rPr>
                <w:b/>
              </w:rPr>
            </w:pPr>
            <w:r>
              <w:rPr>
                <w:b/>
              </w:rPr>
              <w:t>Maksimaalne viide</w:t>
            </w:r>
          </w:p>
        </w:tc>
      </w:tr>
      <w:tr w:rsidR="0077418D" w14:paraId="69966F47" w14:textId="77777777">
        <w:trPr>
          <w:trHeight w:val="1028"/>
        </w:trPr>
        <w:tc>
          <w:tcPr>
            <w:tcW w:w="921" w:type="dxa"/>
            <w:tcBorders>
              <w:top w:val="single" w:sz="4" w:space="0" w:color="000000"/>
              <w:left w:val="single" w:sz="4" w:space="0" w:color="000000"/>
              <w:bottom w:val="single" w:sz="4" w:space="0" w:color="000000"/>
            </w:tcBorders>
          </w:tcPr>
          <w:p w14:paraId="7E3ACCD3" w14:textId="77777777" w:rsidR="0077418D" w:rsidRDefault="0077418D">
            <w:pPr>
              <w:pStyle w:val="Standard"/>
              <w:widowControl w:val="0"/>
              <w:numPr>
                <w:ilvl w:val="1"/>
                <w:numId w:val="2"/>
              </w:numPr>
              <w:tabs>
                <w:tab w:val="center" w:pos="4320"/>
                <w:tab w:val="right" w:pos="8640"/>
              </w:tabs>
              <w:snapToGrid w:val="0"/>
            </w:pPr>
          </w:p>
        </w:tc>
        <w:tc>
          <w:tcPr>
            <w:tcW w:w="2935" w:type="dxa"/>
            <w:tcBorders>
              <w:top w:val="single" w:sz="4" w:space="0" w:color="000000"/>
              <w:left w:val="single" w:sz="4" w:space="0" w:color="000000"/>
              <w:bottom w:val="single" w:sz="4" w:space="0" w:color="000000"/>
            </w:tcBorders>
          </w:tcPr>
          <w:p w14:paraId="30D0A534" w14:textId="77777777" w:rsidR="0077418D" w:rsidRDefault="00D7678D">
            <w:pPr>
              <w:pStyle w:val="Header"/>
              <w:widowControl w:val="0"/>
              <w:tabs>
                <w:tab w:val="clear" w:pos="4536"/>
                <w:tab w:val="clear" w:pos="9072"/>
                <w:tab w:val="center" w:pos="4320"/>
                <w:tab w:val="left" w:pos="7740"/>
              </w:tabs>
              <w:snapToGrid w:val="0"/>
              <w:rPr>
                <w:rFonts w:ascii="Times New Roman" w:hAnsi="Times New Roman" w:cs="Times New Roman"/>
                <w:sz w:val="24"/>
                <w:szCs w:val="24"/>
              </w:rPr>
            </w:pPr>
            <w:r>
              <w:rPr>
                <w:rFonts w:ascii="Times New Roman" w:hAnsi="Times New Roman" w:cs="Times New Roman"/>
                <w:sz w:val="24"/>
                <w:szCs w:val="24"/>
              </w:rPr>
              <w:t>Globaalse konfiguratsiooni päringu reaktsiooni aeg (90% päringutest peab mahtuma maksimaalse viite sisse)</w:t>
            </w:r>
          </w:p>
        </w:tc>
        <w:tc>
          <w:tcPr>
            <w:tcW w:w="2898" w:type="dxa"/>
            <w:tcBorders>
              <w:top w:val="single" w:sz="4" w:space="0" w:color="000000"/>
              <w:left w:val="single" w:sz="4" w:space="0" w:color="000000"/>
              <w:bottom w:val="single" w:sz="4" w:space="0" w:color="000000"/>
            </w:tcBorders>
            <w:tcMar>
              <w:left w:w="10" w:type="dxa"/>
              <w:right w:w="10" w:type="dxa"/>
            </w:tcMar>
          </w:tcPr>
          <w:p w14:paraId="4F5E7A9B" w14:textId="77777777" w:rsidR="0077418D" w:rsidRDefault="00D7678D">
            <w:pPr>
              <w:pStyle w:val="NormalWeb"/>
              <w:widowControl w:val="0"/>
              <w:spacing w:beforeAutospacing="0" w:after="0" w:afterAutospacing="0"/>
              <w:jc w:val="center"/>
            </w:pPr>
            <w:r>
              <w:t>5s</w:t>
            </w:r>
          </w:p>
        </w:tc>
        <w:tc>
          <w:tcPr>
            <w:tcW w:w="2899" w:type="dxa"/>
            <w:tcBorders>
              <w:top w:val="single" w:sz="4" w:space="0" w:color="000000"/>
              <w:left w:val="single" w:sz="4" w:space="0" w:color="000000"/>
              <w:bottom w:val="single" w:sz="4" w:space="0" w:color="000000"/>
              <w:right w:val="single" w:sz="4" w:space="0" w:color="000000"/>
            </w:tcBorders>
          </w:tcPr>
          <w:p w14:paraId="7692676B" w14:textId="77777777" w:rsidR="0077418D" w:rsidRDefault="00D7678D">
            <w:pPr>
              <w:pStyle w:val="NormalWeb"/>
              <w:widowControl w:val="0"/>
              <w:spacing w:beforeAutospacing="0" w:after="0" w:afterAutospacing="0"/>
              <w:jc w:val="center"/>
            </w:pPr>
            <w:r>
              <w:t>30s</w:t>
            </w:r>
          </w:p>
        </w:tc>
      </w:tr>
    </w:tbl>
    <w:p w14:paraId="4B37D6ED" w14:textId="77777777" w:rsidR="0077418D" w:rsidRDefault="0077418D">
      <w:pPr>
        <w:spacing w:before="40" w:after="40" w:line="240" w:lineRule="auto"/>
        <w:ind w:right="113"/>
        <w:jc w:val="both"/>
        <w:textAlignment w:val="baseline"/>
        <w:rPr>
          <w:rFonts w:ascii="Times New Roman" w:hAnsi="Times New Roman" w:cs="Times New Roman"/>
          <w:sz w:val="24"/>
          <w:szCs w:val="24"/>
        </w:rPr>
      </w:pPr>
    </w:p>
    <w:p w14:paraId="383D1DA9" w14:textId="77777777" w:rsidR="0077418D" w:rsidRDefault="0077418D">
      <w:pPr>
        <w:spacing w:after="0" w:line="240" w:lineRule="auto"/>
        <w:jc w:val="both"/>
        <w:rPr>
          <w:rFonts w:ascii="Times New Roman" w:eastAsia="Calibri" w:hAnsi="Times New Roman" w:cs="Times New Roman"/>
          <w:sz w:val="24"/>
          <w:szCs w:val="24"/>
        </w:rPr>
      </w:pPr>
    </w:p>
    <w:p w14:paraId="5D4F0099" w14:textId="77777777" w:rsidR="009741A9" w:rsidRDefault="009741A9" w:rsidP="009741A9">
      <w:pPr>
        <w:pStyle w:val="Default"/>
        <w:tabs>
          <w:tab w:val="left" w:pos="5670"/>
        </w:tabs>
        <w:spacing w:after="135"/>
        <w:rPr>
          <w:rFonts w:ascii="Times New Roman" w:hAnsi="Times New Roman" w:cs="Times New Roman"/>
        </w:rPr>
      </w:pPr>
    </w:p>
    <w:sectPr w:rsidR="009741A9">
      <w:footerReference w:type="default" r:id="rId8"/>
      <w:pgSz w:w="11906" w:h="16838"/>
      <w:pgMar w:top="992" w:right="1418" w:bottom="1418"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BD0E" w14:textId="77777777" w:rsidR="00E7111C" w:rsidRDefault="00E7111C">
      <w:pPr>
        <w:spacing w:after="0" w:line="240" w:lineRule="auto"/>
      </w:pPr>
      <w:r>
        <w:separator/>
      </w:r>
    </w:p>
  </w:endnote>
  <w:endnote w:type="continuationSeparator" w:id="0">
    <w:p w14:paraId="02D86BA5" w14:textId="77777777" w:rsidR="00E7111C" w:rsidRDefault="00E7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sig w:usb0="E0000AFF" w:usb1="500078FF" w:usb2="00000021" w:usb3="00000000" w:csb0="000001BF" w:csb1="00000000"/>
  </w:font>
  <w:font w:name="Noto Sans CJK SC">
    <w:charset w:val="00"/>
    <w:family w:val="roman"/>
    <w:pitch w:val="default"/>
  </w:font>
  <w:font w:name="FreeSans">
    <w:altName w:val="Cambria"/>
    <w:charset w:val="00"/>
    <w:family w:val="roman"/>
    <w:pitch w:val="default"/>
  </w:font>
  <w:font w:name="ArialMT">
    <w:altName w:val="Arial"/>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A651" w14:textId="77777777" w:rsidR="0077418D" w:rsidRDefault="0077418D">
    <w:pPr>
      <w:pStyle w:val="Footer"/>
      <w:jc w:val="center"/>
      <w:rPr>
        <w:rFonts w:ascii="Times New Roman" w:hAnsi="Times New Roman" w:cs="Times New Roman"/>
        <w:sz w:val="24"/>
        <w:szCs w:val="24"/>
      </w:rPr>
    </w:pPr>
  </w:p>
  <w:p w14:paraId="433F1D42" w14:textId="77777777" w:rsidR="0077418D" w:rsidRDefault="0077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C0D0A" w14:textId="77777777" w:rsidR="00E7111C" w:rsidRDefault="00E7111C">
      <w:pPr>
        <w:spacing w:after="0" w:line="240" w:lineRule="auto"/>
      </w:pPr>
      <w:r>
        <w:separator/>
      </w:r>
    </w:p>
  </w:footnote>
  <w:footnote w:type="continuationSeparator" w:id="0">
    <w:p w14:paraId="4B35E84E" w14:textId="77777777" w:rsidR="00E7111C" w:rsidRDefault="00E71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2C44"/>
    <w:multiLevelType w:val="multilevel"/>
    <w:tmpl w:val="C77ECAC4"/>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1" w15:restartNumberingAfterBreak="0">
    <w:nsid w:val="23AC27F0"/>
    <w:multiLevelType w:val="multilevel"/>
    <w:tmpl w:val="CEB0F1D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379161FA"/>
    <w:multiLevelType w:val="multilevel"/>
    <w:tmpl w:val="E30CD4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91C333D"/>
    <w:multiLevelType w:val="multilevel"/>
    <w:tmpl w:val="C5608388"/>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abstractNum w:abstractNumId="4" w15:restartNumberingAfterBreak="0">
    <w:nsid w:val="3E4B7471"/>
    <w:multiLevelType w:val="multilevel"/>
    <w:tmpl w:val="DD882FFE"/>
    <w:lvl w:ilvl="0">
      <w:start w:val="1"/>
      <w:numFmt w:val="decimal"/>
      <w:lvlText w:val="%1"/>
      <w:lvlJc w:val="left"/>
      <w:pPr>
        <w:tabs>
          <w:tab w:val="num" w:pos="420"/>
        </w:tabs>
        <w:ind w:left="420" w:hanging="420"/>
      </w:pPr>
      <w:rPr>
        <w:rFonts w:ascii="Times New Roman" w:hAnsi="Times New Roman" w:cs="Times New Roman"/>
      </w:rPr>
    </w:lvl>
    <w:lvl w:ilvl="1">
      <w:start w:val="1"/>
      <w:numFmt w:val="decimal"/>
      <w:lvlText w:val="%1.%2"/>
      <w:lvlJc w:val="left"/>
      <w:pPr>
        <w:tabs>
          <w:tab w:val="num" w:pos="420"/>
        </w:tabs>
        <w:ind w:left="420" w:hanging="420"/>
      </w:pPr>
      <w:rPr>
        <w:rFonts w:ascii="Times New Roman" w:hAnsi="Times New Roman" w:cs="Times New Roman"/>
        <w:b w:val="0"/>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Arial" w:hAnsi="Arial" w:cs="Arial"/>
      </w:rPr>
    </w:lvl>
    <w:lvl w:ilvl="5">
      <w:start w:val="1"/>
      <w:numFmt w:val="decimal"/>
      <w:lvlText w:val="%1.%2.%3.%4.%5.%6"/>
      <w:lvlJc w:val="left"/>
      <w:pPr>
        <w:tabs>
          <w:tab w:val="num" w:pos="1080"/>
        </w:tabs>
        <w:ind w:left="1080" w:hanging="1080"/>
      </w:pPr>
      <w:rPr>
        <w:rFonts w:ascii="Arial" w:hAnsi="Arial" w:cs="Arial"/>
      </w:rPr>
    </w:lvl>
    <w:lvl w:ilvl="6">
      <w:start w:val="1"/>
      <w:numFmt w:val="decimal"/>
      <w:lvlText w:val="%1.%2.%3.%4.%5.%6.%7"/>
      <w:lvlJc w:val="left"/>
      <w:pPr>
        <w:tabs>
          <w:tab w:val="num" w:pos="1440"/>
        </w:tabs>
        <w:ind w:left="1440" w:hanging="1440"/>
      </w:pPr>
      <w:rPr>
        <w:rFonts w:ascii="Arial" w:hAnsi="Arial" w:cs="Arial"/>
      </w:rPr>
    </w:lvl>
    <w:lvl w:ilvl="7">
      <w:start w:val="1"/>
      <w:numFmt w:val="decimal"/>
      <w:lvlText w:val="%1.%2.%3.%4.%5.%6.%7.%8"/>
      <w:lvlJc w:val="left"/>
      <w:pPr>
        <w:tabs>
          <w:tab w:val="num" w:pos="1440"/>
        </w:tabs>
        <w:ind w:left="1440" w:hanging="1440"/>
      </w:pPr>
      <w:rPr>
        <w:rFonts w:ascii="Arial" w:hAnsi="Arial" w:cs="Arial"/>
      </w:rPr>
    </w:lvl>
    <w:lvl w:ilvl="8">
      <w:start w:val="1"/>
      <w:numFmt w:val="decimal"/>
      <w:lvlText w:val="%1.%2.%3.%4.%5.%6.%7.%8.%9"/>
      <w:lvlJc w:val="left"/>
      <w:pPr>
        <w:tabs>
          <w:tab w:val="num" w:pos="1800"/>
        </w:tabs>
        <w:ind w:left="1800" w:hanging="1800"/>
      </w:pPr>
      <w:rPr>
        <w:rFonts w:ascii="Arial" w:hAnsi="Arial" w:cs="Arial"/>
      </w:rPr>
    </w:lvl>
  </w:abstractNum>
  <w:num w:numId="1" w16cid:durableId="838618364">
    <w:abstractNumId w:val="0"/>
  </w:num>
  <w:num w:numId="2" w16cid:durableId="1821926271">
    <w:abstractNumId w:val="1"/>
  </w:num>
  <w:num w:numId="3" w16cid:durableId="1471285799">
    <w:abstractNumId w:val="4"/>
  </w:num>
  <w:num w:numId="4" w16cid:durableId="2058431325">
    <w:abstractNumId w:val="3"/>
  </w:num>
  <w:num w:numId="5" w16cid:durableId="531265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8D"/>
    <w:rsid w:val="00045EDB"/>
    <w:rsid w:val="000464DD"/>
    <w:rsid w:val="000D2134"/>
    <w:rsid w:val="00106427"/>
    <w:rsid w:val="001174C6"/>
    <w:rsid w:val="0023491F"/>
    <w:rsid w:val="00272753"/>
    <w:rsid w:val="002E64C4"/>
    <w:rsid w:val="003020EF"/>
    <w:rsid w:val="00314A1A"/>
    <w:rsid w:val="003E70F8"/>
    <w:rsid w:val="00425EB0"/>
    <w:rsid w:val="004F1FA1"/>
    <w:rsid w:val="005B56FD"/>
    <w:rsid w:val="005F35E2"/>
    <w:rsid w:val="005F5A78"/>
    <w:rsid w:val="00613EE4"/>
    <w:rsid w:val="006966A7"/>
    <w:rsid w:val="006D5584"/>
    <w:rsid w:val="0071676B"/>
    <w:rsid w:val="0077418D"/>
    <w:rsid w:val="00850129"/>
    <w:rsid w:val="008F486D"/>
    <w:rsid w:val="00901B00"/>
    <w:rsid w:val="009741A9"/>
    <w:rsid w:val="009C11A9"/>
    <w:rsid w:val="00A028A7"/>
    <w:rsid w:val="00AB6F3D"/>
    <w:rsid w:val="00B559DA"/>
    <w:rsid w:val="00B93F9A"/>
    <w:rsid w:val="00C46B7F"/>
    <w:rsid w:val="00D7678D"/>
    <w:rsid w:val="00DD2166"/>
    <w:rsid w:val="00DF1695"/>
    <w:rsid w:val="00E16847"/>
    <w:rsid w:val="00E7111C"/>
    <w:rsid w:val="00F96376"/>
    <w:rsid w:val="00F979D3"/>
  </w:rsids>
  <m:mathPr>
    <m:mathFont m:val="Cambria Math"/>
    <m:brkBin m:val="before"/>
    <m:brkBinSub m:val="--"/>
    <m:smallFrac m:val="0"/>
    <m:dispDef/>
    <m:lMargin m:val="0"/>
    <m:rMargin m:val="0"/>
    <m:defJc m:val="centerGroup"/>
    <m:wrapIndent m:val="1440"/>
    <m:intLim m:val="subSup"/>
    <m:naryLim m:val="undOvr"/>
  </m:mathPr>
  <w:themeFontLang w:val="et-E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90A7"/>
  <w15:docId w15:val="{1899A04D-7467-4255-ACA7-1F9D25181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C2B57"/>
    <w:pPr>
      <w:keepNext/>
      <w:keepLines/>
      <w:spacing w:before="480" w:after="40" w:line="240" w:lineRule="auto"/>
      <w:ind w:left="357" w:right="113"/>
      <w:jc w:val="both"/>
      <w:textAlignment w:val="baseline"/>
      <w:outlineLvl w:val="0"/>
    </w:pPr>
    <w:rPr>
      <w:rFonts w:asciiTheme="majorHAnsi" w:eastAsiaTheme="majorEastAsia" w:hAnsiTheme="majorHAnsi" w:cstheme="majorBidi"/>
      <w:b/>
      <w:bCs/>
      <w:kern w:val="2"/>
      <w:sz w:val="20"/>
      <w:szCs w:val="28"/>
      <w:lang w:val="en-US"/>
    </w:rPr>
  </w:style>
  <w:style w:type="paragraph" w:styleId="Heading2">
    <w:name w:val="heading 2"/>
    <w:basedOn w:val="Normal"/>
    <w:next w:val="Normal"/>
    <w:link w:val="Heading2Char"/>
    <w:uiPriority w:val="9"/>
    <w:semiHidden/>
    <w:unhideWhenUsed/>
    <w:qFormat/>
    <w:rsid w:val="00953A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25529"/>
    <w:rPr>
      <w:sz w:val="16"/>
      <w:szCs w:val="16"/>
    </w:rPr>
  </w:style>
  <w:style w:type="character" w:customStyle="1" w:styleId="CommentTextChar">
    <w:name w:val="Comment Text Char"/>
    <w:basedOn w:val="DefaultParagraphFont"/>
    <w:link w:val="CommentText"/>
    <w:uiPriority w:val="99"/>
    <w:qFormat/>
    <w:rsid w:val="00B25529"/>
    <w:rPr>
      <w:sz w:val="20"/>
      <w:szCs w:val="20"/>
    </w:rPr>
  </w:style>
  <w:style w:type="character" w:customStyle="1" w:styleId="CommentSubjectChar">
    <w:name w:val="Comment Subject Char"/>
    <w:basedOn w:val="CommentTextChar"/>
    <w:link w:val="CommentSubject"/>
    <w:uiPriority w:val="99"/>
    <w:semiHidden/>
    <w:qFormat/>
    <w:rsid w:val="00B25529"/>
    <w:rPr>
      <w:b/>
      <w:bCs/>
      <w:sz w:val="20"/>
      <w:szCs w:val="20"/>
    </w:rPr>
  </w:style>
  <w:style w:type="character" w:customStyle="1" w:styleId="BalloonTextChar">
    <w:name w:val="Balloon Text Char"/>
    <w:basedOn w:val="DefaultParagraphFont"/>
    <w:link w:val="BalloonText"/>
    <w:uiPriority w:val="99"/>
    <w:semiHidden/>
    <w:qFormat/>
    <w:rsid w:val="00B25529"/>
    <w:rPr>
      <w:rFonts w:ascii="Tahoma" w:hAnsi="Tahoma" w:cs="Tahoma"/>
      <w:sz w:val="16"/>
      <w:szCs w:val="16"/>
    </w:rPr>
  </w:style>
  <w:style w:type="character" w:customStyle="1" w:styleId="HeaderChar">
    <w:name w:val="Header Char"/>
    <w:basedOn w:val="DefaultParagraphFont"/>
    <w:link w:val="Header"/>
    <w:qFormat/>
    <w:rsid w:val="005F437C"/>
  </w:style>
  <w:style w:type="character" w:customStyle="1" w:styleId="FooterChar">
    <w:name w:val="Footer Char"/>
    <w:basedOn w:val="DefaultParagraphFont"/>
    <w:link w:val="Footer"/>
    <w:uiPriority w:val="99"/>
    <w:qFormat/>
    <w:rsid w:val="005F437C"/>
  </w:style>
  <w:style w:type="character" w:customStyle="1" w:styleId="FootnoteTextChar">
    <w:name w:val="Footnote Text Char"/>
    <w:basedOn w:val="DefaultParagraphFont"/>
    <w:link w:val="FootnoteText"/>
    <w:uiPriority w:val="99"/>
    <w:qFormat/>
    <w:rsid w:val="004540D9"/>
    <w:rPr>
      <w:rFonts w:ascii="Arial" w:eastAsia="SimSun" w:hAnsi="Arial" w:cs="Tahoma"/>
      <w:kern w:val="2"/>
      <w:sz w:val="20"/>
      <w:szCs w:val="20"/>
      <w:lang w:val="en-US"/>
    </w:rPr>
  </w:style>
  <w:style w:type="character" w:customStyle="1" w:styleId="FootnoteCharacters">
    <w:name w:val="Footnote Characters"/>
    <w:basedOn w:val="DefaultParagraphFont"/>
    <w:uiPriority w:val="99"/>
    <w:unhideWhenUsed/>
    <w:qFormat/>
    <w:rsid w:val="004540D9"/>
    <w:rPr>
      <w:vertAlign w:val="superscript"/>
    </w:rPr>
  </w:style>
  <w:style w:type="character" w:customStyle="1" w:styleId="FootnoteAnchor">
    <w:name w:val="Footnote Anchor"/>
    <w:rPr>
      <w:vertAlign w:val="superscript"/>
    </w:rPr>
  </w:style>
  <w:style w:type="character" w:styleId="Hyperlink">
    <w:name w:val="Hyperlink"/>
    <w:basedOn w:val="DefaultParagraphFont"/>
    <w:uiPriority w:val="99"/>
    <w:unhideWhenUsed/>
    <w:rsid w:val="00B458E0"/>
    <w:rPr>
      <w:color w:val="0000FF" w:themeColor="hyperlink"/>
      <w:u w:val="single"/>
    </w:rPr>
  </w:style>
  <w:style w:type="character" w:styleId="FollowedHyperlink">
    <w:name w:val="FollowedHyperlink"/>
    <w:basedOn w:val="DefaultParagraphFont"/>
    <w:uiPriority w:val="99"/>
    <w:semiHidden/>
    <w:unhideWhenUsed/>
    <w:rsid w:val="00F527E7"/>
    <w:rPr>
      <w:color w:val="800080" w:themeColor="followedHyperlink"/>
      <w:u w:val="single"/>
    </w:rPr>
  </w:style>
  <w:style w:type="character" w:styleId="Emphasis">
    <w:name w:val="Emphasis"/>
    <w:basedOn w:val="DefaultParagraphFont"/>
    <w:uiPriority w:val="20"/>
    <w:qFormat/>
    <w:rsid w:val="000B3ABB"/>
    <w:rPr>
      <w:i/>
      <w:iCs/>
    </w:rPr>
  </w:style>
  <w:style w:type="character" w:styleId="HTMLCode">
    <w:name w:val="HTML Code"/>
    <w:basedOn w:val="DefaultParagraphFont"/>
    <w:uiPriority w:val="99"/>
    <w:semiHidden/>
    <w:unhideWhenUsed/>
    <w:qFormat/>
    <w:rsid w:val="000B3ABB"/>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qFormat/>
    <w:rsid w:val="001C2B57"/>
    <w:rPr>
      <w:rFonts w:asciiTheme="majorHAnsi" w:eastAsiaTheme="majorEastAsia" w:hAnsiTheme="majorHAnsi" w:cstheme="majorBidi"/>
      <w:b/>
      <w:bCs/>
      <w:kern w:val="2"/>
      <w:sz w:val="20"/>
      <w:szCs w:val="28"/>
      <w:lang w:val="en-US"/>
    </w:rPr>
  </w:style>
  <w:style w:type="character" w:customStyle="1" w:styleId="Heading2Char">
    <w:name w:val="Heading 2 Char"/>
    <w:basedOn w:val="DefaultParagraphFont"/>
    <w:link w:val="Heading2"/>
    <w:uiPriority w:val="9"/>
    <w:semiHidden/>
    <w:qFormat/>
    <w:rsid w:val="00953A81"/>
    <w:rPr>
      <w:rFonts w:asciiTheme="majorHAnsi" w:eastAsiaTheme="majorEastAsia" w:hAnsiTheme="majorHAnsi" w:cstheme="majorBidi"/>
      <w:b/>
      <w:bCs/>
      <w:color w:val="4F81BD" w:themeColor="accent1"/>
      <w:sz w:val="26"/>
      <w:szCs w:val="26"/>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Default">
    <w:name w:val="Default"/>
    <w:qFormat/>
    <w:rsid w:val="00145BB4"/>
    <w:rPr>
      <w:rFonts w:ascii="Arial" w:eastAsia="Calibri" w:hAnsi="Arial" w:cs="Arial"/>
      <w:color w:val="000000"/>
      <w:sz w:val="24"/>
      <w:szCs w:val="24"/>
    </w:rPr>
  </w:style>
  <w:style w:type="paragraph" w:styleId="CommentText">
    <w:name w:val="annotation text"/>
    <w:basedOn w:val="Normal"/>
    <w:link w:val="CommentTextChar"/>
    <w:uiPriority w:val="99"/>
    <w:unhideWhenUsed/>
    <w:qFormat/>
    <w:rsid w:val="00B2552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25529"/>
    <w:rPr>
      <w:b/>
      <w:bCs/>
    </w:rPr>
  </w:style>
  <w:style w:type="paragraph" w:styleId="BalloonText">
    <w:name w:val="Balloon Text"/>
    <w:basedOn w:val="Normal"/>
    <w:link w:val="BalloonTextChar"/>
    <w:uiPriority w:val="99"/>
    <w:semiHidden/>
    <w:unhideWhenUsed/>
    <w:qFormat/>
    <w:rsid w:val="00B25529"/>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nhideWhenUsed/>
    <w:rsid w:val="005F437C"/>
    <w:pPr>
      <w:tabs>
        <w:tab w:val="center" w:pos="4536"/>
        <w:tab w:val="right" w:pos="9072"/>
      </w:tabs>
      <w:spacing w:after="0" w:line="240" w:lineRule="auto"/>
    </w:pPr>
  </w:style>
  <w:style w:type="paragraph" w:styleId="Footer">
    <w:name w:val="footer"/>
    <w:basedOn w:val="Normal"/>
    <w:link w:val="FooterChar"/>
    <w:uiPriority w:val="99"/>
    <w:unhideWhenUsed/>
    <w:rsid w:val="005F437C"/>
    <w:pPr>
      <w:tabs>
        <w:tab w:val="center" w:pos="4536"/>
        <w:tab w:val="right" w:pos="9072"/>
      </w:tabs>
      <w:spacing w:after="0" w:line="240" w:lineRule="auto"/>
    </w:pPr>
  </w:style>
  <w:style w:type="paragraph" w:styleId="FootnoteText">
    <w:name w:val="footnote text"/>
    <w:basedOn w:val="Normal"/>
    <w:link w:val="FootnoteTextChar"/>
    <w:uiPriority w:val="99"/>
    <w:unhideWhenUsed/>
    <w:rsid w:val="004540D9"/>
    <w:pPr>
      <w:spacing w:after="0" w:line="240" w:lineRule="auto"/>
      <w:ind w:left="357" w:right="113"/>
      <w:jc w:val="both"/>
      <w:textAlignment w:val="baseline"/>
    </w:pPr>
    <w:rPr>
      <w:rFonts w:ascii="Arial" w:eastAsia="SimSun" w:hAnsi="Arial" w:cs="Tahoma"/>
      <w:kern w:val="2"/>
      <w:sz w:val="20"/>
      <w:szCs w:val="20"/>
      <w:lang w:val="en-US"/>
    </w:rPr>
  </w:style>
  <w:style w:type="paragraph" w:styleId="ListParagraph">
    <w:name w:val="List Paragraph"/>
    <w:basedOn w:val="Normal"/>
    <w:uiPriority w:val="34"/>
    <w:qFormat/>
    <w:rsid w:val="0000348E"/>
    <w:pPr>
      <w:ind w:left="720"/>
      <w:contextualSpacing/>
    </w:pPr>
  </w:style>
  <w:style w:type="paragraph" w:styleId="NormalWeb">
    <w:name w:val="Normal (Web)"/>
    <w:basedOn w:val="Normal"/>
    <w:uiPriority w:val="99"/>
    <w:unhideWhenUsed/>
    <w:qFormat/>
    <w:rsid w:val="000B3ABB"/>
    <w:pPr>
      <w:spacing w:beforeAutospacing="1" w:afterAutospacing="1" w:line="240" w:lineRule="auto"/>
    </w:pPr>
    <w:rPr>
      <w:rFonts w:ascii="Times New Roman" w:eastAsia="Times New Roman" w:hAnsi="Times New Roman" w:cs="Times New Roman"/>
      <w:sz w:val="24"/>
      <w:szCs w:val="24"/>
      <w:lang w:eastAsia="et-EE"/>
    </w:rPr>
  </w:style>
  <w:style w:type="paragraph" w:customStyle="1" w:styleId="Standard">
    <w:name w:val="Standard"/>
    <w:qFormat/>
    <w:rsid w:val="001C2B57"/>
    <w:pPr>
      <w:spacing w:after="113"/>
      <w:textAlignment w:val="baseline"/>
    </w:pPr>
    <w:rPr>
      <w:rFonts w:ascii="Times New Roman" w:eastAsia="Times New Roman" w:hAnsi="Times New Roman" w:cs="Times New Roman"/>
      <w:kern w:val="2"/>
      <w:sz w:val="24"/>
      <w:szCs w:val="24"/>
      <w:lang w:eastAsia="zh-CN"/>
    </w:rPr>
  </w:style>
  <w:style w:type="paragraph" w:styleId="Revision">
    <w:name w:val="Revision"/>
    <w:uiPriority w:val="99"/>
    <w:semiHidden/>
    <w:qFormat/>
    <w:rsid w:val="000C04A3"/>
  </w:style>
  <w:style w:type="paragraph" w:styleId="NoSpacing">
    <w:name w:val="No Spacing"/>
    <w:uiPriority w:val="1"/>
    <w:qFormat/>
    <w:rsid w:val="0091063B"/>
  </w:style>
  <w:style w:type="numbering" w:customStyle="1" w:styleId="WW8Num3">
    <w:name w:val="WW8Num3"/>
    <w:qFormat/>
    <w:rsid w:val="004540D9"/>
  </w:style>
  <w:style w:type="table" w:styleId="TableGrid">
    <w:name w:val="Table Grid"/>
    <w:basedOn w:val="TableNormal"/>
    <w:uiPriority w:val="59"/>
    <w:rsid w:val="004540D9"/>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BC9D7-904B-47B0-925A-9A672F37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4376</Words>
  <Characters>24945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Kaitti Kattai</dc:creator>
  <dc:description/>
  <cp:lastModifiedBy>Mart Ustav</cp:lastModifiedBy>
  <cp:revision>2</cp:revision>
  <cp:lastPrinted>2017-11-29T10:08:00Z</cp:lastPrinted>
  <dcterms:created xsi:type="dcterms:W3CDTF">2026-03-24T08:12:00Z</dcterms:created>
  <dcterms:modified xsi:type="dcterms:W3CDTF">2026-03-24T08:12:00Z</dcterms:modified>
  <dc:language>en-US</dc:language>
</cp:coreProperties>
</file>